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9916" w:type="dxa"/>
        <w:tblInd w:w="-386" w:type="dxa"/>
        <w:tblLook w:val="04A0" w:firstRow="1" w:lastRow="0" w:firstColumn="1" w:lastColumn="0" w:noHBand="0" w:noVBand="1"/>
      </w:tblPr>
      <w:tblGrid>
        <w:gridCol w:w="821"/>
        <w:gridCol w:w="2599"/>
        <w:gridCol w:w="2021"/>
        <w:gridCol w:w="2743"/>
        <w:gridCol w:w="1732"/>
      </w:tblGrid>
      <w:tr w:rsidR="00D93511" w:rsidRPr="00D93511" w14:paraId="32119C43" w14:textId="77777777" w:rsidTr="007322A1">
        <w:trPr>
          <w:trHeight w:val="336"/>
        </w:trPr>
        <w:tc>
          <w:tcPr>
            <w:tcW w:w="821" w:type="dxa"/>
          </w:tcPr>
          <w:p w14:paraId="16959165" w14:textId="235BFA69" w:rsidR="007322A1" w:rsidRPr="00D93511" w:rsidRDefault="007322A1" w:rsidP="007322A1">
            <w:pPr>
              <w:spacing w:line="360" w:lineRule="auto"/>
              <w:rPr>
                <w:rFonts w:ascii="Arial" w:hAnsi="Arial" w:cs="Arial"/>
                <w:lang w:val="es-MX"/>
              </w:rPr>
            </w:pPr>
            <w:r w:rsidRPr="00D93511">
              <w:rPr>
                <w:rFonts w:ascii="Arial" w:hAnsi="Arial" w:cs="Arial"/>
                <w:lang w:val="es-MX"/>
              </w:rPr>
              <w:t>AREA</w:t>
            </w:r>
          </w:p>
        </w:tc>
        <w:tc>
          <w:tcPr>
            <w:tcW w:w="2598" w:type="dxa"/>
          </w:tcPr>
          <w:p w14:paraId="02F78A84" w14:textId="6EC6E295" w:rsidR="007322A1" w:rsidRPr="00D93511" w:rsidRDefault="00D322A8" w:rsidP="007322A1">
            <w:pPr>
              <w:spacing w:line="360" w:lineRule="auto"/>
              <w:rPr>
                <w:rFonts w:ascii="Arial" w:hAnsi="Arial" w:cs="Arial"/>
                <w:lang w:val="es-MX"/>
              </w:rPr>
            </w:pPr>
            <w:r w:rsidRPr="00D93511">
              <w:rPr>
                <w:rFonts w:ascii="Arial" w:hAnsi="Arial" w:cs="Arial"/>
                <w:lang w:val="es-MX"/>
              </w:rPr>
              <w:t>Ciencias económicas</w:t>
            </w:r>
          </w:p>
        </w:tc>
        <w:tc>
          <w:tcPr>
            <w:tcW w:w="2021" w:type="dxa"/>
          </w:tcPr>
          <w:p w14:paraId="6D898D9E" w14:textId="65ECD39B" w:rsidR="007322A1" w:rsidRPr="00D93511" w:rsidRDefault="007322A1" w:rsidP="007322A1">
            <w:pPr>
              <w:spacing w:line="360" w:lineRule="auto"/>
              <w:rPr>
                <w:rFonts w:ascii="Arial" w:hAnsi="Arial" w:cs="Arial"/>
                <w:lang w:val="es-MX"/>
              </w:rPr>
            </w:pPr>
            <w:r w:rsidRPr="00D93511">
              <w:rPr>
                <w:rFonts w:ascii="Arial" w:hAnsi="Arial" w:cs="Arial"/>
                <w:lang w:val="es-MX"/>
              </w:rPr>
              <w:t>GRADO</w:t>
            </w:r>
            <w:r w:rsidR="00D322A8" w:rsidRPr="00D93511">
              <w:rPr>
                <w:rFonts w:ascii="Arial" w:hAnsi="Arial" w:cs="Arial"/>
                <w:lang w:val="es-MX"/>
              </w:rPr>
              <w:t xml:space="preserve">: </w:t>
            </w:r>
            <w:r w:rsidR="003011BC">
              <w:rPr>
                <w:rFonts w:ascii="Arial" w:hAnsi="Arial" w:cs="Arial"/>
                <w:sz w:val="20"/>
                <w:lang w:val="es-MX"/>
              </w:rPr>
              <w:t>Décimo</w:t>
            </w:r>
            <w:bookmarkStart w:id="0" w:name="_GoBack"/>
            <w:bookmarkEnd w:id="0"/>
          </w:p>
        </w:tc>
        <w:tc>
          <w:tcPr>
            <w:tcW w:w="2742" w:type="dxa"/>
          </w:tcPr>
          <w:p w14:paraId="510AD1EC" w14:textId="38536830" w:rsidR="007322A1" w:rsidRPr="00D93511" w:rsidRDefault="007322A1" w:rsidP="007322A1">
            <w:pPr>
              <w:spacing w:line="360" w:lineRule="auto"/>
              <w:rPr>
                <w:rFonts w:ascii="Arial" w:hAnsi="Arial" w:cs="Arial"/>
                <w:lang w:val="es-MX"/>
              </w:rPr>
            </w:pPr>
            <w:r w:rsidRPr="00D93511">
              <w:rPr>
                <w:rFonts w:ascii="Arial" w:hAnsi="Arial" w:cs="Arial"/>
                <w:lang w:val="es-MX"/>
              </w:rPr>
              <w:t>PERIODO</w:t>
            </w:r>
            <w:r w:rsidR="00D322A8" w:rsidRPr="00D93511">
              <w:rPr>
                <w:rFonts w:ascii="Arial" w:hAnsi="Arial" w:cs="Arial"/>
                <w:lang w:val="es-MX"/>
              </w:rPr>
              <w:t>: 2</w:t>
            </w:r>
          </w:p>
        </w:tc>
        <w:tc>
          <w:tcPr>
            <w:tcW w:w="1732" w:type="dxa"/>
          </w:tcPr>
          <w:p w14:paraId="27242E51" w14:textId="3B5AFC81" w:rsidR="007322A1" w:rsidRPr="00D93511" w:rsidRDefault="007322A1" w:rsidP="007322A1">
            <w:pPr>
              <w:spacing w:line="360" w:lineRule="auto"/>
              <w:rPr>
                <w:rFonts w:ascii="Arial" w:hAnsi="Arial" w:cs="Arial"/>
                <w:lang w:val="es-MX"/>
              </w:rPr>
            </w:pPr>
            <w:r w:rsidRPr="00D93511">
              <w:rPr>
                <w:rFonts w:ascii="Arial" w:hAnsi="Arial" w:cs="Arial"/>
                <w:lang w:val="es-MX"/>
              </w:rPr>
              <w:t>AÑO:</w:t>
            </w:r>
            <w:r w:rsidR="00D322A8" w:rsidRPr="00D93511">
              <w:rPr>
                <w:rFonts w:ascii="Arial" w:hAnsi="Arial" w:cs="Arial"/>
                <w:lang w:val="es-MX"/>
              </w:rPr>
              <w:t>2020</w:t>
            </w:r>
          </w:p>
        </w:tc>
      </w:tr>
      <w:tr w:rsidR="00D93511" w:rsidRPr="00D93511" w14:paraId="29A65A78" w14:textId="77777777" w:rsidTr="007322A1">
        <w:trPr>
          <w:trHeight w:val="317"/>
        </w:trPr>
        <w:tc>
          <w:tcPr>
            <w:tcW w:w="3420" w:type="dxa"/>
            <w:gridSpan w:val="2"/>
          </w:tcPr>
          <w:p w14:paraId="0C5E84D6" w14:textId="7F078ED2" w:rsidR="007322A1" w:rsidRPr="00D93511" w:rsidRDefault="007322A1" w:rsidP="007322A1">
            <w:pPr>
              <w:spacing w:line="360" w:lineRule="auto"/>
              <w:rPr>
                <w:rFonts w:ascii="Arial" w:hAnsi="Arial" w:cs="Arial"/>
                <w:lang w:val="es-MX"/>
              </w:rPr>
            </w:pPr>
            <w:r w:rsidRPr="00D93511">
              <w:rPr>
                <w:rFonts w:ascii="Arial" w:hAnsi="Arial" w:cs="Arial"/>
                <w:lang w:val="es-MX"/>
              </w:rPr>
              <w:t>DOCENTE(S) DEL ÁREA</w:t>
            </w:r>
          </w:p>
        </w:tc>
        <w:tc>
          <w:tcPr>
            <w:tcW w:w="6496" w:type="dxa"/>
            <w:gridSpan w:val="3"/>
          </w:tcPr>
          <w:p w14:paraId="00FA9EAF" w14:textId="3906D777" w:rsidR="007322A1" w:rsidRPr="00D93511" w:rsidRDefault="00D322A8" w:rsidP="007322A1">
            <w:pPr>
              <w:spacing w:line="360" w:lineRule="auto"/>
              <w:rPr>
                <w:rFonts w:ascii="Arial" w:hAnsi="Arial" w:cs="Arial"/>
                <w:lang w:val="es-MX"/>
              </w:rPr>
            </w:pPr>
            <w:r w:rsidRPr="00D93511">
              <w:rPr>
                <w:rFonts w:ascii="Arial" w:hAnsi="Arial" w:cs="Arial"/>
                <w:lang w:val="es-MX"/>
              </w:rPr>
              <w:t>Édison Arley Quintero Acosta</w:t>
            </w:r>
          </w:p>
        </w:tc>
      </w:tr>
      <w:tr w:rsidR="00D93511" w:rsidRPr="00D93511" w14:paraId="36700ECA" w14:textId="77777777" w:rsidTr="007322A1">
        <w:trPr>
          <w:trHeight w:val="317"/>
        </w:trPr>
        <w:tc>
          <w:tcPr>
            <w:tcW w:w="8184" w:type="dxa"/>
            <w:gridSpan w:val="4"/>
          </w:tcPr>
          <w:p w14:paraId="5C158EFE" w14:textId="32252D21" w:rsidR="007322A1" w:rsidRPr="00D93511" w:rsidRDefault="007322A1" w:rsidP="007322A1">
            <w:pPr>
              <w:spacing w:line="360" w:lineRule="auto"/>
              <w:rPr>
                <w:rFonts w:ascii="Arial" w:hAnsi="Arial" w:cs="Arial"/>
                <w:lang w:val="es-MX"/>
              </w:rPr>
            </w:pPr>
            <w:r w:rsidRPr="00D93511">
              <w:rPr>
                <w:rFonts w:ascii="Arial" w:hAnsi="Arial" w:cs="Arial"/>
                <w:lang w:val="es-MX"/>
              </w:rPr>
              <w:t>NOMBRE DEL ESTUDIANTE</w:t>
            </w:r>
          </w:p>
        </w:tc>
        <w:tc>
          <w:tcPr>
            <w:tcW w:w="1732" w:type="dxa"/>
          </w:tcPr>
          <w:p w14:paraId="421B8FFF" w14:textId="5AE645C7" w:rsidR="007322A1" w:rsidRPr="00D93511" w:rsidRDefault="007322A1" w:rsidP="007322A1">
            <w:pPr>
              <w:spacing w:line="360" w:lineRule="auto"/>
              <w:rPr>
                <w:rFonts w:ascii="Arial" w:hAnsi="Arial" w:cs="Arial"/>
                <w:lang w:val="es-MX"/>
              </w:rPr>
            </w:pPr>
            <w:r w:rsidRPr="00D93511">
              <w:rPr>
                <w:rFonts w:ascii="Arial" w:hAnsi="Arial" w:cs="Arial"/>
                <w:lang w:val="es-MX"/>
              </w:rPr>
              <w:t>GRUPO:</w:t>
            </w:r>
          </w:p>
        </w:tc>
      </w:tr>
      <w:tr w:rsidR="00D93511" w:rsidRPr="00D93511" w14:paraId="763351A6" w14:textId="77777777" w:rsidTr="007322A1">
        <w:trPr>
          <w:trHeight w:val="317"/>
        </w:trPr>
        <w:tc>
          <w:tcPr>
            <w:tcW w:w="8184" w:type="dxa"/>
            <w:gridSpan w:val="4"/>
          </w:tcPr>
          <w:p w14:paraId="63AF8A23" w14:textId="77777777" w:rsidR="00D93511" w:rsidRPr="00D93511" w:rsidRDefault="00D93511" w:rsidP="007322A1">
            <w:pPr>
              <w:spacing w:line="360" w:lineRule="auto"/>
              <w:rPr>
                <w:rFonts w:ascii="Arial" w:hAnsi="Arial" w:cs="Arial"/>
                <w:lang w:val="es-MX"/>
              </w:rPr>
            </w:pPr>
          </w:p>
        </w:tc>
        <w:tc>
          <w:tcPr>
            <w:tcW w:w="1732" w:type="dxa"/>
          </w:tcPr>
          <w:p w14:paraId="60534963" w14:textId="77777777" w:rsidR="00D93511" w:rsidRPr="00D93511" w:rsidRDefault="00D93511" w:rsidP="007322A1">
            <w:pPr>
              <w:spacing w:line="360" w:lineRule="auto"/>
              <w:rPr>
                <w:rFonts w:ascii="Arial" w:hAnsi="Arial" w:cs="Arial"/>
                <w:lang w:val="es-MX"/>
              </w:rPr>
            </w:pPr>
          </w:p>
        </w:tc>
      </w:tr>
    </w:tbl>
    <w:tbl>
      <w:tblPr>
        <w:tblStyle w:val="Tablaconcuadrcula"/>
        <w:tblpPr w:leftFromText="141" w:rightFromText="141" w:vertAnchor="text" w:horzAnchor="margin" w:tblpX="-441" w:tblpY="179"/>
        <w:tblW w:w="9984" w:type="dxa"/>
        <w:tblLook w:val="04A0" w:firstRow="1" w:lastRow="0" w:firstColumn="1" w:lastColumn="0" w:noHBand="0" w:noVBand="1"/>
      </w:tblPr>
      <w:tblGrid>
        <w:gridCol w:w="3736"/>
        <w:gridCol w:w="6248"/>
      </w:tblGrid>
      <w:tr w:rsidR="00D93511" w:rsidRPr="00D93511" w14:paraId="4109C15F" w14:textId="77777777" w:rsidTr="007322A1">
        <w:trPr>
          <w:trHeight w:val="379"/>
        </w:trPr>
        <w:tc>
          <w:tcPr>
            <w:tcW w:w="3736" w:type="dxa"/>
          </w:tcPr>
          <w:p w14:paraId="01FFA2BE" w14:textId="3DD91DAB" w:rsidR="007322A1" w:rsidRPr="00D93511" w:rsidRDefault="007322A1" w:rsidP="007322A1">
            <w:pPr>
              <w:jc w:val="both"/>
              <w:rPr>
                <w:rFonts w:ascii="Arial" w:hAnsi="Arial" w:cs="Arial"/>
              </w:rPr>
            </w:pPr>
            <w:r w:rsidRPr="00D93511">
              <w:rPr>
                <w:rFonts w:ascii="Arial" w:hAnsi="Arial" w:cs="Arial"/>
              </w:rPr>
              <w:t>COMPETENCIAS</w:t>
            </w:r>
          </w:p>
        </w:tc>
        <w:tc>
          <w:tcPr>
            <w:tcW w:w="6248" w:type="dxa"/>
          </w:tcPr>
          <w:p w14:paraId="47130DEB" w14:textId="592F70D3" w:rsidR="007322A1" w:rsidRPr="00D93511" w:rsidRDefault="007322A1" w:rsidP="007322A1">
            <w:pPr>
              <w:jc w:val="both"/>
              <w:rPr>
                <w:rFonts w:ascii="Arial" w:hAnsi="Arial" w:cs="Arial"/>
              </w:rPr>
            </w:pPr>
            <w:r w:rsidRPr="00D93511">
              <w:rPr>
                <w:rFonts w:ascii="Arial" w:hAnsi="Arial" w:cs="Arial"/>
              </w:rPr>
              <w:t>INDICADORES DE DESEMPEÑO</w:t>
            </w:r>
          </w:p>
        </w:tc>
      </w:tr>
      <w:tr w:rsidR="00D93511" w:rsidRPr="00D93511" w14:paraId="2D1E632A" w14:textId="77777777" w:rsidTr="007322A1">
        <w:trPr>
          <w:trHeight w:val="358"/>
        </w:trPr>
        <w:tc>
          <w:tcPr>
            <w:tcW w:w="3736" w:type="dxa"/>
          </w:tcPr>
          <w:p w14:paraId="2E4C318E" w14:textId="45CF6CF9" w:rsidR="007322A1" w:rsidRPr="00D93511" w:rsidRDefault="003011BC" w:rsidP="007322A1">
            <w:pPr>
              <w:jc w:val="both"/>
              <w:rPr>
                <w:rFonts w:ascii="Arial" w:hAnsi="Arial" w:cs="Arial"/>
              </w:rPr>
            </w:pPr>
            <w:r w:rsidRPr="003011BC">
              <w:rPr>
                <w:rFonts w:ascii="Arial" w:hAnsi="Arial" w:cs="Arial"/>
                <w:color w:val="000000"/>
                <w:sz w:val="18"/>
              </w:rPr>
              <w:t>Identifico los principales postulados del liberalismo clásico, el socialismo, el marxismo-leninismo y analizo la vigencia actual de algunos de ellos</w:t>
            </w:r>
          </w:p>
        </w:tc>
        <w:tc>
          <w:tcPr>
            <w:tcW w:w="6248" w:type="dxa"/>
          </w:tcPr>
          <w:p w14:paraId="41023565" w14:textId="02F312DB" w:rsidR="004B3C7F" w:rsidRPr="00D93511" w:rsidRDefault="004B3C7F" w:rsidP="004B3C7F">
            <w:pPr>
              <w:jc w:val="both"/>
              <w:rPr>
                <w:rFonts w:ascii="Arial" w:hAnsi="Arial" w:cs="Arial"/>
              </w:rPr>
            </w:pPr>
            <w:r w:rsidRPr="00D93511">
              <w:rPr>
                <w:rFonts w:ascii="Arial" w:hAnsi="Arial" w:cs="Arial"/>
              </w:rPr>
              <w:t xml:space="preserve">Identifique </w:t>
            </w:r>
            <w:r w:rsidRPr="00D93511">
              <w:rPr>
                <w:rFonts w:ascii="Arial" w:hAnsi="Arial" w:cs="Arial"/>
              </w:rPr>
              <w:t>los principales postulados del liberalismo clásico.</w:t>
            </w:r>
          </w:p>
          <w:p w14:paraId="3C15D879" w14:textId="77777777" w:rsidR="007322A1" w:rsidRPr="00D93511" w:rsidRDefault="007322A1" w:rsidP="007322A1">
            <w:pPr>
              <w:jc w:val="both"/>
              <w:rPr>
                <w:rFonts w:ascii="Arial" w:hAnsi="Arial" w:cs="Arial"/>
              </w:rPr>
            </w:pPr>
          </w:p>
        </w:tc>
      </w:tr>
    </w:tbl>
    <w:p w14:paraId="6B5994A9" w14:textId="6CCE97D6" w:rsidR="007322A1" w:rsidRPr="00D93511" w:rsidRDefault="007322A1">
      <w:pPr>
        <w:rPr>
          <w:rFonts w:ascii="Arial" w:hAnsi="Arial" w:cs="Arial"/>
          <w:lang w:val="es-MX"/>
        </w:rPr>
      </w:pPr>
    </w:p>
    <w:tbl>
      <w:tblPr>
        <w:tblStyle w:val="Tablaconcuadrcula"/>
        <w:tblW w:w="10050" w:type="dxa"/>
        <w:tblInd w:w="-431" w:type="dxa"/>
        <w:tblLook w:val="04A0" w:firstRow="1" w:lastRow="0" w:firstColumn="1" w:lastColumn="0" w:noHBand="0" w:noVBand="1"/>
      </w:tblPr>
      <w:tblGrid>
        <w:gridCol w:w="463"/>
        <w:gridCol w:w="4225"/>
        <w:gridCol w:w="1556"/>
        <w:gridCol w:w="1841"/>
        <w:gridCol w:w="1965"/>
      </w:tblGrid>
      <w:tr w:rsidR="00D93511" w:rsidRPr="00D93511" w14:paraId="4450A6CE" w14:textId="77777777" w:rsidTr="00715A13">
        <w:trPr>
          <w:trHeight w:val="286"/>
        </w:trPr>
        <w:tc>
          <w:tcPr>
            <w:tcW w:w="438" w:type="dxa"/>
            <w:vAlign w:val="center"/>
          </w:tcPr>
          <w:p w14:paraId="64CE2A10" w14:textId="4FC2BE6F" w:rsidR="007322A1" w:rsidRPr="00D93511" w:rsidRDefault="007322A1" w:rsidP="007322A1">
            <w:pPr>
              <w:jc w:val="center"/>
              <w:rPr>
                <w:rFonts w:ascii="Arial" w:hAnsi="Arial" w:cs="Arial"/>
                <w:b/>
                <w:bCs/>
                <w:lang w:val="es-MX"/>
              </w:rPr>
            </w:pPr>
            <w:r w:rsidRPr="00D93511">
              <w:rPr>
                <w:rFonts w:ascii="Arial" w:hAnsi="Arial" w:cs="Arial"/>
                <w:b/>
                <w:bCs/>
                <w:lang w:val="es-MX"/>
              </w:rPr>
              <w:t>N°</w:t>
            </w:r>
          </w:p>
        </w:tc>
        <w:tc>
          <w:tcPr>
            <w:tcW w:w="4241" w:type="dxa"/>
            <w:vAlign w:val="center"/>
          </w:tcPr>
          <w:p w14:paraId="54308C5E" w14:textId="64C43563" w:rsidR="007322A1" w:rsidRPr="00D93511" w:rsidRDefault="007322A1" w:rsidP="007322A1">
            <w:pPr>
              <w:jc w:val="center"/>
              <w:rPr>
                <w:rFonts w:ascii="Arial" w:hAnsi="Arial" w:cs="Arial"/>
                <w:b/>
                <w:bCs/>
                <w:lang w:val="es-MX"/>
              </w:rPr>
            </w:pPr>
            <w:r w:rsidRPr="00D93511">
              <w:rPr>
                <w:rFonts w:ascii="Arial" w:hAnsi="Arial" w:cs="Arial"/>
                <w:b/>
                <w:bCs/>
                <w:lang w:val="es-MX"/>
              </w:rPr>
              <w:t>DESCRIPCION DE LA ACTIVIDAD</w:t>
            </w:r>
          </w:p>
        </w:tc>
        <w:tc>
          <w:tcPr>
            <w:tcW w:w="1559" w:type="dxa"/>
            <w:vAlign w:val="center"/>
          </w:tcPr>
          <w:p w14:paraId="6585C2D8" w14:textId="4D3F0CE0" w:rsidR="007322A1" w:rsidRPr="00D93511" w:rsidRDefault="007322A1" w:rsidP="007322A1">
            <w:pPr>
              <w:jc w:val="center"/>
              <w:rPr>
                <w:rFonts w:ascii="Arial" w:hAnsi="Arial" w:cs="Arial"/>
                <w:b/>
                <w:bCs/>
                <w:lang w:val="es-MX"/>
              </w:rPr>
            </w:pPr>
            <w:r w:rsidRPr="00D93511">
              <w:rPr>
                <w:rFonts w:ascii="Arial" w:hAnsi="Arial" w:cs="Arial"/>
                <w:b/>
                <w:bCs/>
                <w:lang w:val="es-MX"/>
              </w:rPr>
              <w:t>ANEXOS</w:t>
            </w:r>
          </w:p>
        </w:tc>
        <w:tc>
          <w:tcPr>
            <w:tcW w:w="1843" w:type="dxa"/>
            <w:vAlign w:val="center"/>
          </w:tcPr>
          <w:p w14:paraId="5790CA5C" w14:textId="2DBF7866" w:rsidR="007322A1" w:rsidRPr="00D93511" w:rsidRDefault="007322A1" w:rsidP="007322A1">
            <w:pPr>
              <w:jc w:val="center"/>
              <w:rPr>
                <w:rFonts w:ascii="Arial" w:hAnsi="Arial" w:cs="Arial"/>
                <w:b/>
                <w:bCs/>
                <w:lang w:val="es-MX"/>
              </w:rPr>
            </w:pPr>
            <w:r w:rsidRPr="00D93511">
              <w:rPr>
                <w:rFonts w:ascii="Arial" w:hAnsi="Arial" w:cs="Arial"/>
                <w:b/>
                <w:bCs/>
                <w:lang w:val="es-MX"/>
              </w:rPr>
              <w:t>RECURSOS</w:t>
            </w:r>
          </w:p>
        </w:tc>
        <w:tc>
          <w:tcPr>
            <w:tcW w:w="1969" w:type="dxa"/>
            <w:vAlign w:val="center"/>
          </w:tcPr>
          <w:p w14:paraId="68B008DB" w14:textId="45309EF5" w:rsidR="007322A1" w:rsidRPr="00D93511" w:rsidRDefault="007322A1" w:rsidP="007322A1">
            <w:pPr>
              <w:jc w:val="center"/>
              <w:rPr>
                <w:rFonts w:ascii="Arial" w:hAnsi="Arial" w:cs="Arial"/>
                <w:b/>
                <w:bCs/>
                <w:lang w:val="es-MX"/>
              </w:rPr>
            </w:pPr>
            <w:r w:rsidRPr="00D93511">
              <w:rPr>
                <w:rFonts w:ascii="Arial" w:hAnsi="Arial" w:cs="Arial"/>
                <w:b/>
                <w:bCs/>
              </w:rPr>
              <w:t>TIEMPO O DURACION DE LA ACTIVDAD</w:t>
            </w:r>
          </w:p>
        </w:tc>
      </w:tr>
      <w:tr w:rsidR="00D93511" w:rsidRPr="00D93511" w14:paraId="1FB71F1B" w14:textId="77777777" w:rsidTr="00715A13">
        <w:trPr>
          <w:trHeight w:val="270"/>
        </w:trPr>
        <w:tc>
          <w:tcPr>
            <w:tcW w:w="438" w:type="dxa"/>
          </w:tcPr>
          <w:p w14:paraId="651C003B" w14:textId="003033D3" w:rsidR="007322A1" w:rsidRPr="00D93511" w:rsidRDefault="007322A1" w:rsidP="007322A1">
            <w:pPr>
              <w:rPr>
                <w:rFonts w:ascii="Arial" w:hAnsi="Arial" w:cs="Arial"/>
                <w:lang w:val="es-MX"/>
              </w:rPr>
            </w:pPr>
            <w:r w:rsidRPr="00D93511">
              <w:rPr>
                <w:rFonts w:ascii="Arial" w:hAnsi="Arial" w:cs="Arial"/>
                <w:lang w:val="es-MX"/>
              </w:rPr>
              <w:t>1</w:t>
            </w:r>
          </w:p>
        </w:tc>
        <w:tc>
          <w:tcPr>
            <w:tcW w:w="4241" w:type="dxa"/>
          </w:tcPr>
          <w:p w14:paraId="7E41B7A3" w14:textId="59B3F27A" w:rsidR="007322A1" w:rsidRPr="00D93511" w:rsidRDefault="00715A13" w:rsidP="00715A13">
            <w:pPr>
              <w:jc w:val="both"/>
              <w:rPr>
                <w:rFonts w:ascii="Arial" w:hAnsi="Arial" w:cs="Arial"/>
                <w:lang w:val="es-MX"/>
              </w:rPr>
            </w:pPr>
            <w:r w:rsidRPr="00D93511">
              <w:rPr>
                <w:rFonts w:ascii="Arial" w:hAnsi="Arial" w:cs="Arial"/>
                <w:lang w:val="es-MX"/>
              </w:rPr>
              <w:t>Lea el siguiente texto y r</w:t>
            </w:r>
            <w:r w:rsidR="00D322A8" w:rsidRPr="00D93511">
              <w:rPr>
                <w:rFonts w:ascii="Arial" w:hAnsi="Arial" w:cs="Arial"/>
                <w:lang w:val="es-MX"/>
              </w:rPr>
              <w:t>esuelva la actividad, al reverso de este taller. Tenga en cuenta que la actividad está diseñada para dos semanas de clase.</w:t>
            </w:r>
            <w:r w:rsidR="004B3C7F" w:rsidRPr="00D93511">
              <w:rPr>
                <w:rFonts w:ascii="Arial" w:hAnsi="Arial" w:cs="Arial"/>
                <w:lang w:val="es-MX"/>
              </w:rPr>
              <w:t xml:space="preserve"> La actividad será recogida </w:t>
            </w:r>
            <w:r w:rsidR="004B3C7F" w:rsidRPr="00D93511">
              <w:rPr>
                <w:rFonts w:ascii="Arial" w:hAnsi="Arial" w:cs="Arial"/>
                <w:b/>
                <w:i/>
                <w:u w:val="single"/>
                <w:lang w:val="es-MX"/>
              </w:rPr>
              <w:t>en la fecha que disponga la institución.</w:t>
            </w:r>
          </w:p>
        </w:tc>
        <w:tc>
          <w:tcPr>
            <w:tcW w:w="1559" w:type="dxa"/>
          </w:tcPr>
          <w:p w14:paraId="3A2EF11C" w14:textId="0EEF4823" w:rsidR="007322A1" w:rsidRPr="00D93511" w:rsidRDefault="00715A13" w:rsidP="00C54C29">
            <w:pPr>
              <w:jc w:val="both"/>
              <w:rPr>
                <w:rFonts w:ascii="Arial" w:hAnsi="Arial" w:cs="Arial"/>
                <w:lang w:val="es-MX"/>
              </w:rPr>
            </w:pPr>
            <w:r w:rsidRPr="00D93511">
              <w:rPr>
                <w:rFonts w:ascii="Arial" w:hAnsi="Arial" w:cs="Arial"/>
                <w:lang w:val="es-MX"/>
              </w:rPr>
              <w:t>Ninguno</w:t>
            </w:r>
          </w:p>
        </w:tc>
        <w:tc>
          <w:tcPr>
            <w:tcW w:w="1843" w:type="dxa"/>
          </w:tcPr>
          <w:p w14:paraId="35E4939E" w14:textId="3971847B" w:rsidR="007322A1" w:rsidRPr="00D93511" w:rsidRDefault="007322A1" w:rsidP="00D322A8">
            <w:pPr>
              <w:jc w:val="both"/>
              <w:rPr>
                <w:rFonts w:ascii="Arial" w:hAnsi="Arial" w:cs="Arial"/>
                <w:lang w:val="es-MX"/>
              </w:rPr>
            </w:pPr>
          </w:p>
        </w:tc>
        <w:tc>
          <w:tcPr>
            <w:tcW w:w="1969" w:type="dxa"/>
          </w:tcPr>
          <w:p w14:paraId="4D1F7D58" w14:textId="18FB6B08" w:rsidR="00D322A8" w:rsidRPr="00D93511" w:rsidRDefault="00D322A8" w:rsidP="00D322A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Arial" w:hAnsi="Arial" w:cs="Arial"/>
              </w:rPr>
            </w:pPr>
            <w:r w:rsidRPr="00D93511">
              <w:rPr>
                <w:rFonts w:ascii="Arial" w:hAnsi="Arial" w:cs="Arial"/>
              </w:rPr>
              <w:t xml:space="preserve">2H (Semana del </w:t>
            </w:r>
            <w:r w:rsidRPr="00D93511">
              <w:rPr>
                <w:rFonts w:ascii="Arial" w:hAnsi="Arial" w:cs="Arial"/>
              </w:rPr>
              <w:t>1 a 5 junio</w:t>
            </w:r>
            <w:r w:rsidRPr="00D93511">
              <w:rPr>
                <w:rFonts w:ascii="Arial" w:hAnsi="Arial" w:cs="Arial"/>
              </w:rPr>
              <w:t xml:space="preserve"> y del </w:t>
            </w:r>
          </w:p>
          <w:p w14:paraId="1CFFE313" w14:textId="0045CE14" w:rsidR="007322A1" w:rsidRPr="00D93511" w:rsidRDefault="00D322A8" w:rsidP="00D322A8">
            <w:pPr>
              <w:jc w:val="both"/>
              <w:rPr>
                <w:rFonts w:ascii="Arial" w:hAnsi="Arial" w:cs="Arial"/>
                <w:lang w:val="es-MX"/>
              </w:rPr>
            </w:pPr>
            <w:r w:rsidRPr="00D93511">
              <w:rPr>
                <w:rFonts w:ascii="Arial" w:hAnsi="Arial" w:cs="Arial"/>
              </w:rPr>
              <w:t>8 a 12 de junio</w:t>
            </w:r>
            <w:r w:rsidRPr="00D93511">
              <w:rPr>
                <w:rFonts w:ascii="Arial" w:hAnsi="Arial" w:cs="Arial"/>
              </w:rPr>
              <w:t>)</w:t>
            </w:r>
          </w:p>
        </w:tc>
      </w:tr>
    </w:tbl>
    <w:p w14:paraId="4CA3EEBE" w14:textId="7C989438" w:rsidR="007322A1" w:rsidRPr="00D93511" w:rsidRDefault="007322A1">
      <w:pPr>
        <w:rPr>
          <w:rFonts w:ascii="Arial" w:hAnsi="Arial" w:cs="Arial"/>
          <w:lang w:val="es-MX"/>
        </w:rPr>
      </w:pPr>
    </w:p>
    <w:tbl>
      <w:tblPr>
        <w:tblStyle w:val="Tablaconcuadrcula"/>
        <w:tblW w:w="10065" w:type="dxa"/>
        <w:tblInd w:w="-431" w:type="dxa"/>
        <w:tblLook w:val="04A0" w:firstRow="1" w:lastRow="0" w:firstColumn="1" w:lastColumn="0" w:noHBand="0" w:noVBand="1"/>
      </w:tblPr>
      <w:tblGrid>
        <w:gridCol w:w="10065"/>
      </w:tblGrid>
      <w:tr w:rsidR="00D93511" w:rsidRPr="00D93511" w14:paraId="3AD635E1" w14:textId="77777777" w:rsidTr="00D77D59">
        <w:tc>
          <w:tcPr>
            <w:tcW w:w="10065" w:type="dxa"/>
          </w:tcPr>
          <w:p w14:paraId="586BCE4D" w14:textId="042411F1" w:rsidR="00D77D59" w:rsidRPr="00D93511" w:rsidRDefault="00D77D59" w:rsidP="00715A13">
            <w:pPr>
              <w:jc w:val="center"/>
              <w:rPr>
                <w:rFonts w:ascii="Arial" w:hAnsi="Arial" w:cs="Arial"/>
              </w:rPr>
            </w:pPr>
            <w:r w:rsidRPr="00D93511">
              <w:rPr>
                <w:rFonts w:ascii="Arial" w:hAnsi="Arial" w:cs="Arial"/>
              </w:rPr>
              <w:t>EVALUACIÓN</w:t>
            </w:r>
            <w:r w:rsidR="00715A13" w:rsidRPr="00D93511">
              <w:rPr>
                <w:rFonts w:ascii="Arial" w:hAnsi="Arial" w:cs="Arial"/>
              </w:rPr>
              <w:t xml:space="preserve"> DEL PROCESO</w:t>
            </w:r>
          </w:p>
        </w:tc>
      </w:tr>
      <w:tr w:rsidR="00D93511" w:rsidRPr="00D93511" w14:paraId="457739DD" w14:textId="77777777" w:rsidTr="00D77D59">
        <w:tc>
          <w:tcPr>
            <w:tcW w:w="10065" w:type="dxa"/>
          </w:tcPr>
          <w:p w14:paraId="46DDC910" w14:textId="0C99D3CB" w:rsidR="00D77D59" w:rsidRPr="00D93511" w:rsidRDefault="00715A13" w:rsidP="00715A13">
            <w:pPr>
              <w:jc w:val="both"/>
              <w:rPr>
                <w:rFonts w:ascii="Arial" w:hAnsi="Arial" w:cs="Arial"/>
              </w:rPr>
            </w:pPr>
            <w:r w:rsidRPr="00D93511">
              <w:rPr>
                <w:rFonts w:ascii="Arial" w:hAnsi="Arial" w:cs="Arial"/>
              </w:rPr>
              <w:t>La actividad será estimada dentro del seguimiento y bastará la solución</w:t>
            </w:r>
            <w:r w:rsidR="006D07EC" w:rsidRPr="00D93511">
              <w:rPr>
                <w:rFonts w:ascii="Arial" w:hAnsi="Arial" w:cs="Arial"/>
              </w:rPr>
              <w:t xml:space="preserve"> y entrega</w:t>
            </w:r>
            <w:r w:rsidRPr="00D93511">
              <w:rPr>
                <w:rFonts w:ascii="Arial" w:hAnsi="Arial" w:cs="Arial"/>
              </w:rPr>
              <w:t xml:space="preserve"> de las preguntas, para ser evaluada.  Se tendrá contacto telefónico con el propósito de retroalimentar las debilidades y fortalezas evidenciadas en la actividad.</w:t>
            </w:r>
          </w:p>
        </w:tc>
      </w:tr>
    </w:tbl>
    <w:p w14:paraId="047B26FA" w14:textId="045EDD61" w:rsidR="007322A1" w:rsidRPr="00D93511" w:rsidRDefault="007322A1">
      <w:pPr>
        <w:rPr>
          <w:rFonts w:ascii="Arial" w:hAnsi="Arial" w:cs="Arial"/>
        </w:rPr>
      </w:pPr>
    </w:p>
    <w:p w14:paraId="5EE95753" w14:textId="77777777" w:rsidR="006D07EC" w:rsidRPr="00D93511" w:rsidRDefault="006D07EC" w:rsidP="00D93511">
      <w:pPr>
        <w:pStyle w:val="Ttulo1"/>
        <w:pBdr>
          <w:bottom w:val="single" w:sz="6" w:space="2" w:color="3397A1"/>
        </w:pBdr>
        <w:spacing w:before="0" w:after="150"/>
        <w:jc w:val="center"/>
        <w:textAlignment w:val="baseline"/>
        <w:rPr>
          <w:rFonts w:cs="Arial"/>
          <w:b w:val="0"/>
          <w:bCs w:val="0"/>
          <w:sz w:val="22"/>
          <w:szCs w:val="22"/>
        </w:rPr>
      </w:pPr>
      <w:r w:rsidRPr="00D93511">
        <w:rPr>
          <w:rFonts w:cs="Arial"/>
          <w:b w:val="0"/>
          <w:bCs w:val="0"/>
          <w:sz w:val="22"/>
          <w:szCs w:val="22"/>
        </w:rPr>
        <w:t>S</w:t>
      </w:r>
      <w:r w:rsidRPr="00D93511">
        <w:rPr>
          <w:rFonts w:cs="Arial"/>
          <w:b w:val="0"/>
          <w:bCs w:val="0"/>
          <w:sz w:val="28"/>
          <w:szCs w:val="22"/>
        </w:rPr>
        <w:t xml:space="preserve">ector </w:t>
      </w:r>
      <w:proofErr w:type="spellStart"/>
      <w:r w:rsidRPr="00D93511">
        <w:rPr>
          <w:rFonts w:cs="Arial"/>
          <w:b w:val="0"/>
          <w:bCs w:val="0"/>
          <w:sz w:val="28"/>
          <w:szCs w:val="22"/>
        </w:rPr>
        <w:t>mineroenergético</w:t>
      </w:r>
      <w:proofErr w:type="spellEnd"/>
      <w:r w:rsidRPr="00D93511">
        <w:rPr>
          <w:rFonts w:cs="Arial"/>
          <w:b w:val="0"/>
          <w:bCs w:val="0"/>
          <w:sz w:val="28"/>
          <w:szCs w:val="22"/>
        </w:rPr>
        <w:t xml:space="preserve"> preparado para impacto por covid-19</w:t>
      </w:r>
    </w:p>
    <w:p w14:paraId="7E42C0F2" w14:textId="77777777" w:rsidR="006D07EC" w:rsidRPr="00D93511" w:rsidRDefault="006D07EC" w:rsidP="006D07EC">
      <w:pPr>
        <w:pStyle w:val="foto-description"/>
        <w:spacing w:before="0" w:beforeAutospacing="0" w:after="150" w:afterAutospacing="0"/>
        <w:textAlignment w:val="baseline"/>
        <w:rPr>
          <w:rFonts w:ascii="Arial" w:hAnsi="Arial" w:cs="Arial"/>
          <w:sz w:val="22"/>
          <w:szCs w:val="22"/>
        </w:rPr>
      </w:pPr>
      <w:r w:rsidRPr="00D93511">
        <w:rPr>
          <w:rFonts w:ascii="Arial" w:hAnsi="Arial" w:cs="Arial"/>
          <w:sz w:val="22"/>
          <w:szCs w:val="22"/>
        </w:rPr>
        <w:t>Las compañías mineras y petroleras están preparándose para recibir el impacto de la propagación del coronavirus.</w:t>
      </w:r>
    </w:p>
    <w:p w14:paraId="156CE79C" w14:textId="04F34BD8" w:rsidR="006D07EC" w:rsidRPr="00D93511" w:rsidRDefault="006D07EC" w:rsidP="006D07EC">
      <w:pPr>
        <w:textAlignment w:val="baseline"/>
        <w:rPr>
          <w:rFonts w:ascii="Arial" w:hAnsi="Arial" w:cs="Arial"/>
          <w:caps/>
        </w:rPr>
      </w:pPr>
      <w:r w:rsidRPr="00D93511">
        <w:rPr>
          <w:rFonts w:ascii="Arial" w:hAnsi="Arial" w:cs="Arial"/>
          <w:caps/>
        </w:rPr>
        <w:t>POR:</w:t>
      </w:r>
      <w:r w:rsidRPr="00D93511">
        <w:rPr>
          <w:rFonts w:ascii="Arial" w:hAnsi="Arial" w:cs="Arial"/>
          <w:caps/>
        </w:rPr>
        <w:t xml:space="preserve"> </w:t>
      </w:r>
      <w:r w:rsidRPr="00D93511">
        <w:rPr>
          <w:rFonts w:ascii="Arial" w:hAnsi="Arial" w:cs="Arial"/>
          <w:caps/>
        </w:rPr>
        <w:t>ALFONSO LÓPEZ SUÁREZ</w:t>
      </w:r>
    </w:p>
    <w:p w14:paraId="659F360D" w14:textId="60662F50" w:rsidR="006D07EC" w:rsidRPr="00D93511" w:rsidRDefault="00D93511" w:rsidP="006D07EC">
      <w:pPr>
        <w:textAlignment w:val="baseline"/>
        <w:rPr>
          <w:rFonts w:ascii="Arial" w:hAnsi="Arial" w:cs="Arial"/>
          <w:caps/>
        </w:rPr>
      </w:pPr>
      <w:r>
        <w:rPr>
          <w:rFonts w:ascii="Arial" w:hAnsi="Arial" w:cs="Arial"/>
          <w:caps/>
        </w:rPr>
        <w:t xml:space="preserve">ABRIL 12 DE 2020 </w:t>
      </w:r>
    </w:p>
    <w:p w14:paraId="6AE0342A" w14:textId="77777777" w:rsidR="00D93511" w:rsidRDefault="006D07EC" w:rsidP="00D93511">
      <w:pPr>
        <w:jc w:val="both"/>
        <w:rPr>
          <w:rFonts w:ascii="Arial" w:hAnsi="Arial" w:cs="Arial"/>
        </w:rPr>
      </w:pPr>
      <w:r w:rsidRPr="00D93511">
        <w:rPr>
          <w:rFonts w:ascii="Arial" w:hAnsi="Arial" w:cs="Arial"/>
        </w:rPr>
        <w:t>La crisis sanitaria a la que se enfrenta Colombia y el mundo entero en contra de la covid-19 no tiene precedentes. Esta pandemia ha desencadenado una crisis económica que ha impactado de manera directa e indirecta a todos los sectores económicos, incluido el minero-energético, cuyas empresas que en su mayoría no pueden suspender en su totalidad sus operaciones.</w:t>
      </w:r>
    </w:p>
    <w:p w14:paraId="5A9230E0" w14:textId="77777777" w:rsidR="00D93511" w:rsidRDefault="006D07EC" w:rsidP="00D93511">
      <w:pPr>
        <w:jc w:val="both"/>
        <w:rPr>
          <w:rFonts w:ascii="Arial" w:hAnsi="Arial" w:cs="Arial"/>
        </w:rPr>
      </w:pPr>
      <w:r w:rsidRPr="00D93511">
        <w:rPr>
          <w:rFonts w:ascii="Arial" w:hAnsi="Arial" w:cs="Arial"/>
        </w:rPr>
        <w:t>Por esta razón, las compañías mineras y petroleras están preparándose para recibir el impacto de la propagación del coronavirus con elaboración de planes de emergencia operacionales, entre otras medidas para todos sus colaboradores y aliados.</w:t>
      </w:r>
    </w:p>
    <w:p w14:paraId="6E8598FE" w14:textId="77777777" w:rsidR="00D93511" w:rsidRDefault="006D07EC" w:rsidP="00D93511">
      <w:pPr>
        <w:jc w:val="both"/>
        <w:rPr>
          <w:rFonts w:ascii="Arial" w:hAnsi="Arial" w:cs="Arial"/>
        </w:rPr>
      </w:pPr>
      <w:r w:rsidRPr="00D93511">
        <w:rPr>
          <w:rFonts w:ascii="Arial" w:hAnsi="Arial" w:cs="Arial"/>
        </w:rPr>
        <w:t xml:space="preserve">De acuerdo con Nicolás Arboleda, Asociado del área de Práctica de Energía, Minería e Infraestructura de Baker </w:t>
      </w:r>
      <w:proofErr w:type="spellStart"/>
      <w:r w:rsidRPr="00D93511">
        <w:rPr>
          <w:rFonts w:ascii="Arial" w:hAnsi="Arial" w:cs="Arial"/>
        </w:rPr>
        <w:t>McKenzie</w:t>
      </w:r>
      <w:proofErr w:type="spellEnd"/>
      <w:r w:rsidRPr="00D93511">
        <w:rPr>
          <w:rFonts w:ascii="Arial" w:hAnsi="Arial" w:cs="Arial"/>
        </w:rPr>
        <w:t>, “las empresas que operan minas o campos petroleros no pueden simplemente cerrar y cumplir con el aislamiento. Por eso mismo, es que el decreto 457 de 2020 prevé que estas empresas, dada su actividad, tienen permitido continuar operando bajo una de las excepciones previstas en el mencionado decreto”.</w:t>
      </w:r>
    </w:p>
    <w:p w14:paraId="6013E0EE" w14:textId="5ECF7D2B" w:rsidR="00D93511" w:rsidRPr="00C25AD1" w:rsidRDefault="006D07EC" w:rsidP="00D93511">
      <w:pPr>
        <w:jc w:val="both"/>
        <w:rPr>
          <w:rFonts w:ascii="Arial" w:hAnsi="Arial" w:cs="Arial"/>
          <w:u w:val="single"/>
        </w:rPr>
      </w:pPr>
      <w:r w:rsidRPr="00C25AD1">
        <w:rPr>
          <w:rFonts w:ascii="Arial" w:hAnsi="Arial" w:cs="Arial"/>
          <w:u w:val="single"/>
        </w:rPr>
        <w:t>También, debido a la situación, es probable que las empresas del sector consideren medidas para reducir los costos de producción, algo que no es nuevo para la industria.</w:t>
      </w:r>
    </w:p>
    <w:p w14:paraId="01BABF23" w14:textId="6ED786C6" w:rsidR="00D93511" w:rsidRDefault="006D07EC" w:rsidP="00D93511">
      <w:pPr>
        <w:jc w:val="both"/>
        <w:rPr>
          <w:rFonts w:ascii="Arial" w:hAnsi="Arial" w:cs="Arial"/>
        </w:rPr>
      </w:pPr>
      <w:r w:rsidRPr="00D93511">
        <w:rPr>
          <w:rFonts w:ascii="Arial" w:hAnsi="Arial" w:cs="Arial"/>
        </w:rPr>
        <w:t>En este sentido, -resaltó Arboleda- es necesario continuar con la reducción de costos, algo que se viene haciendo desde el año 2012 sin descanso, para evitar que los efectos negativos de esta coyuntura afecten drásticamente a las empresas.</w:t>
      </w:r>
    </w:p>
    <w:p w14:paraId="18552632" w14:textId="5339CC3A" w:rsidR="00D93511" w:rsidRDefault="006D07EC" w:rsidP="00D93511">
      <w:pPr>
        <w:jc w:val="both"/>
        <w:rPr>
          <w:rFonts w:ascii="Arial" w:hAnsi="Arial" w:cs="Arial"/>
        </w:rPr>
      </w:pPr>
      <w:r w:rsidRPr="00D93511">
        <w:rPr>
          <w:rFonts w:ascii="Arial" w:hAnsi="Arial" w:cs="Arial"/>
        </w:rPr>
        <w:t>Y agregó que han sido las regalías las que aportan más de $14 billones de pesos al Gobierno para mitigar las consecuencias que ha tenido la covid-19 en la economía colombiana, y un gran porcentaje de ese dinero proviene por la operación del carbón.</w:t>
      </w:r>
    </w:p>
    <w:p w14:paraId="21B50429" w14:textId="459E063D" w:rsidR="00D93511" w:rsidRDefault="006D07EC" w:rsidP="00D93511">
      <w:pPr>
        <w:jc w:val="both"/>
        <w:rPr>
          <w:rFonts w:ascii="Arial" w:hAnsi="Arial" w:cs="Arial"/>
        </w:rPr>
      </w:pPr>
      <w:r w:rsidRPr="00D93511">
        <w:rPr>
          <w:rFonts w:ascii="Arial" w:hAnsi="Arial" w:cs="Arial"/>
        </w:rPr>
        <w:lastRenderedPageBreak/>
        <w:t>“Las empresas mineras y petroleras deberían buscar alivios para afrontar la crisis. Normalmente a los demás sectores les otorgan alivios o ayudas económicas, así que éstos deberían extenderse al sector minero, teniendo en cuenta además que es este el sector que va a financiar, en gran medida a través del recaudo de regalías, la ayuda económica que brindará el gobierno”, dijo el analista.</w:t>
      </w:r>
    </w:p>
    <w:p w14:paraId="4C393E04" w14:textId="57E61E57" w:rsidR="006D07EC" w:rsidRPr="00D93511" w:rsidRDefault="006D07EC" w:rsidP="00D93511">
      <w:pPr>
        <w:jc w:val="both"/>
        <w:rPr>
          <w:rFonts w:ascii="Arial" w:hAnsi="Arial" w:cs="Arial"/>
        </w:rPr>
      </w:pPr>
      <w:r w:rsidRPr="00D93511">
        <w:rPr>
          <w:rFonts w:ascii="Arial" w:hAnsi="Arial" w:cs="Arial"/>
        </w:rPr>
        <w:t xml:space="preserve">Al enfrentarse a un escenario incierto como la covd-19 se prevé que las empresas con mayor músculo financiero sean las que puedan soportar esta situación, mientras que otras se verán abocadas a cerrar sus negocios, especialmente por el impacto en precios de los </w:t>
      </w:r>
      <w:proofErr w:type="spellStart"/>
      <w:r w:rsidRPr="00D93511">
        <w:rPr>
          <w:rFonts w:ascii="Arial" w:hAnsi="Arial" w:cs="Arial"/>
        </w:rPr>
        <w:t>commodities</w:t>
      </w:r>
      <w:proofErr w:type="spellEnd"/>
      <w:r w:rsidRPr="00D93511">
        <w:rPr>
          <w:rFonts w:ascii="Arial" w:hAnsi="Arial" w:cs="Arial"/>
        </w:rPr>
        <w:t xml:space="preserve"> (bienes que se venden a nivel internacional).</w:t>
      </w:r>
    </w:p>
    <w:p w14:paraId="33D83AD1" w14:textId="7079BB30" w:rsidR="00D93511" w:rsidRDefault="006D07EC" w:rsidP="00D93511">
      <w:pPr>
        <w:jc w:val="both"/>
        <w:rPr>
          <w:rFonts w:ascii="Arial" w:hAnsi="Arial" w:cs="Arial"/>
        </w:rPr>
      </w:pPr>
      <w:r w:rsidRPr="00D93511">
        <w:rPr>
          <w:rFonts w:ascii="Arial" w:hAnsi="Arial" w:cs="Arial"/>
        </w:rPr>
        <w:t>“Es importante que desde el Gobierno Nacional se haga uso de herramientas de salvamentos financieros para asegurar la continuidad en estas operaciones”, subrayó Arboleda.</w:t>
      </w:r>
    </w:p>
    <w:p w14:paraId="0608C78B" w14:textId="228C03C7" w:rsidR="00D93511" w:rsidRDefault="006D07EC" w:rsidP="00D93511">
      <w:pPr>
        <w:jc w:val="both"/>
        <w:rPr>
          <w:rFonts w:ascii="Arial" w:hAnsi="Arial" w:cs="Arial"/>
        </w:rPr>
      </w:pPr>
      <w:r w:rsidRPr="00D93511">
        <w:rPr>
          <w:rFonts w:ascii="Arial" w:hAnsi="Arial" w:cs="Arial"/>
        </w:rPr>
        <w:t>Al consultar sobre las medidas que debe adoptar el sector minero energético para hacerle frente al impacto por la covid-19, señalaron tanto la operación minera como la petrolera tienen ante sí un desafío nunca antes visto, ya que concurre una pandemia que “naturalmente” implica baja en la demanda de energía por la disminución indefinida del consumo.</w:t>
      </w:r>
    </w:p>
    <w:p w14:paraId="60176A84" w14:textId="23757265" w:rsidR="00D93511" w:rsidRDefault="006D07EC" w:rsidP="00D93511">
      <w:pPr>
        <w:jc w:val="both"/>
        <w:rPr>
          <w:rFonts w:ascii="Arial" w:hAnsi="Arial" w:cs="Arial"/>
        </w:rPr>
      </w:pPr>
      <w:r w:rsidRPr="00D93511">
        <w:rPr>
          <w:rFonts w:ascii="Arial" w:hAnsi="Arial" w:cs="Arial"/>
        </w:rPr>
        <w:t>“China es a la vez gran consumidor y gran productor y al estar su economía en pausa, y la del resto países entrando en el mismo ciclo por la necesidad de aislamiento no hay mercado que absorba la producción. A esto se suma la caída estrepitosa de los precios del petróleo por el rompimiento del pacto de Rusia con la Organización de Países Exportadores de Petróleo (</w:t>
      </w:r>
      <w:proofErr w:type="spellStart"/>
      <w:r w:rsidRPr="00D93511">
        <w:rPr>
          <w:rFonts w:ascii="Arial" w:hAnsi="Arial" w:cs="Arial"/>
        </w:rPr>
        <w:t>Opep</w:t>
      </w:r>
      <w:proofErr w:type="spellEnd"/>
      <w:r w:rsidRPr="00D93511">
        <w:rPr>
          <w:rFonts w:ascii="Arial" w:hAnsi="Arial" w:cs="Arial"/>
        </w:rPr>
        <w:t xml:space="preserve">) y la liberación de producción de Arabia Saudita”, explicó Inés Elvira </w:t>
      </w:r>
      <w:proofErr w:type="spellStart"/>
      <w:r w:rsidRPr="00D93511">
        <w:rPr>
          <w:rFonts w:ascii="Arial" w:hAnsi="Arial" w:cs="Arial"/>
        </w:rPr>
        <w:t>Vesga</w:t>
      </w:r>
      <w:proofErr w:type="spellEnd"/>
      <w:r w:rsidRPr="00D93511">
        <w:rPr>
          <w:rFonts w:ascii="Arial" w:hAnsi="Arial" w:cs="Arial"/>
        </w:rPr>
        <w:t xml:space="preserve">, senior </w:t>
      </w:r>
      <w:proofErr w:type="spellStart"/>
      <w:r w:rsidRPr="00D93511">
        <w:rPr>
          <w:rFonts w:ascii="Arial" w:hAnsi="Arial" w:cs="Arial"/>
        </w:rPr>
        <w:t>Counsel</w:t>
      </w:r>
      <w:proofErr w:type="spellEnd"/>
      <w:r w:rsidRPr="00D93511">
        <w:rPr>
          <w:rFonts w:ascii="Arial" w:hAnsi="Arial" w:cs="Arial"/>
        </w:rPr>
        <w:t xml:space="preserve"> de </w:t>
      </w:r>
      <w:proofErr w:type="spellStart"/>
      <w:r w:rsidRPr="00D93511">
        <w:rPr>
          <w:rFonts w:ascii="Arial" w:hAnsi="Arial" w:cs="Arial"/>
        </w:rPr>
        <w:t>Holland</w:t>
      </w:r>
      <w:proofErr w:type="spellEnd"/>
      <w:r w:rsidRPr="00D93511">
        <w:rPr>
          <w:rFonts w:ascii="Arial" w:hAnsi="Arial" w:cs="Arial"/>
        </w:rPr>
        <w:t xml:space="preserve"> &amp; </w:t>
      </w:r>
      <w:proofErr w:type="spellStart"/>
      <w:r w:rsidRPr="00D93511">
        <w:rPr>
          <w:rFonts w:ascii="Arial" w:hAnsi="Arial" w:cs="Arial"/>
        </w:rPr>
        <w:t>Knight</w:t>
      </w:r>
      <w:proofErr w:type="spellEnd"/>
      <w:r w:rsidRPr="00D93511">
        <w:rPr>
          <w:rFonts w:ascii="Arial" w:hAnsi="Arial" w:cs="Arial"/>
        </w:rPr>
        <w:t>.</w:t>
      </w:r>
    </w:p>
    <w:p w14:paraId="374C65DD" w14:textId="77777777" w:rsidR="00D93511" w:rsidRDefault="006D07EC" w:rsidP="00D93511">
      <w:pPr>
        <w:jc w:val="both"/>
        <w:rPr>
          <w:rFonts w:ascii="Arial" w:hAnsi="Arial" w:cs="Arial"/>
        </w:rPr>
      </w:pPr>
      <w:r w:rsidRPr="00D93511">
        <w:rPr>
          <w:rFonts w:ascii="Arial" w:hAnsi="Arial" w:cs="Arial"/>
        </w:rPr>
        <w:t>La analista agregó que, en el caso de la caída en los precios del crudo como en el 2015, los más seguro es que se observará un aplazamiento de inversiones no estratégicas y disminución de costos operacionales y administrativos. “Los productores deben prepararse para un escenario de desaceleración”, dijo.</w:t>
      </w:r>
    </w:p>
    <w:p w14:paraId="482F75D4" w14:textId="7A324185" w:rsidR="00D93511" w:rsidRDefault="006D07EC" w:rsidP="00D93511">
      <w:pPr>
        <w:jc w:val="both"/>
        <w:rPr>
          <w:rFonts w:ascii="Arial" w:hAnsi="Arial" w:cs="Arial"/>
        </w:rPr>
      </w:pPr>
      <w:r w:rsidRPr="00D93511">
        <w:rPr>
          <w:rFonts w:ascii="Arial" w:hAnsi="Arial" w:cs="Arial"/>
        </w:rPr>
        <w:t xml:space="preserve">Así mismo, </w:t>
      </w:r>
      <w:proofErr w:type="spellStart"/>
      <w:r w:rsidRPr="00D93511">
        <w:rPr>
          <w:rFonts w:ascii="Arial" w:hAnsi="Arial" w:cs="Arial"/>
        </w:rPr>
        <w:t>Vesga</w:t>
      </w:r>
      <w:proofErr w:type="spellEnd"/>
      <w:r w:rsidRPr="00D93511">
        <w:rPr>
          <w:rFonts w:ascii="Arial" w:hAnsi="Arial" w:cs="Arial"/>
        </w:rPr>
        <w:t xml:space="preserve"> reiteró que a diferencia de lo que ocurrió en ese momento, las empresas petroleras en la actualidad están mejor preparada para el momento presente, ya que “venimos de un precio en recuperación luego de la crisis y las compañías aprendieron a optimizar sus recursos, y prueba de ello son los resultados de Ecopetrol en los últimos dos años”.</w:t>
      </w:r>
    </w:p>
    <w:p w14:paraId="602430F2" w14:textId="18FCC2F2" w:rsidR="00D93511" w:rsidRDefault="006D07EC" w:rsidP="00D93511">
      <w:pPr>
        <w:jc w:val="both"/>
        <w:rPr>
          <w:rFonts w:ascii="Arial" w:hAnsi="Arial" w:cs="Arial"/>
        </w:rPr>
      </w:pPr>
      <w:proofErr w:type="gramStart"/>
      <w:r w:rsidRPr="00D93511">
        <w:rPr>
          <w:rFonts w:ascii="Arial" w:hAnsi="Arial" w:cs="Arial"/>
        </w:rPr>
        <w:t>La senior</w:t>
      </w:r>
      <w:proofErr w:type="gramEnd"/>
      <w:r w:rsidRPr="00D93511">
        <w:rPr>
          <w:rFonts w:ascii="Arial" w:hAnsi="Arial" w:cs="Arial"/>
        </w:rPr>
        <w:t xml:space="preserve"> </w:t>
      </w:r>
      <w:proofErr w:type="spellStart"/>
      <w:r w:rsidRPr="00D93511">
        <w:rPr>
          <w:rFonts w:ascii="Arial" w:hAnsi="Arial" w:cs="Arial"/>
        </w:rPr>
        <w:t>Counsel</w:t>
      </w:r>
      <w:proofErr w:type="spellEnd"/>
      <w:r w:rsidRPr="00D93511">
        <w:rPr>
          <w:rFonts w:ascii="Arial" w:hAnsi="Arial" w:cs="Arial"/>
        </w:rPr>
        <w:t xml:space="preserve"> de </w:t>
      </w:r>
      <w:proofErr w:type="spellStart"/>
      <w:r w:rsidRPr="00D93511">
        <w:rPr>
          <w:rFonts w:ascii="Arial" w:hAnsi="Arial" w:cs="Arial"/>
        </w:rPr>
        <w:t>Holland</w:t>
      </w:r>
      <w:proofErr w:type="spellEnd"/>
      <w:r w:rsidRPr="00D93511">
        <w:rPr>
          <w:rFonts w:ascii="Arial" w:hAnsi="Arial" w:cs="Arial"/>
        </w:rPr>
        <w:t xml:space="preserve"> &amp; </w:t>
      </w:r>
      <w:proofErr w:type="spellStart"/>
      <w:r w:rsidRPr="00D93511">
        <w:rPr>
          <w:rFonts w:ascii="Arial" w:hAnsi="Arial" w:cs="Arial"/>
        </w:rPr>
        <w:t>Knigth</w:t>
      </w:r>
      <w:proofErr w:type="spellEnd"/>
      <w:r w:rsidR="00D93511" w:rsidRPr="00D93511">
        <w:rPr>
          <w:rFonts w:ascii="Arial" w:hAnsi="Arial" w:cs="Arial"/>
        </w:rPr>
        <w:t xml:space="preserve"> (Firma experta en el tema)</w:t>
      </w:r>
      <w:r w:rsidRPr="00D93511">
        <w:rPr>
          <w:rFonts w:ascii="Arial" w:hAnsi="Arial" w:cs="Arial"/>
        </w:rPr>
        <w:t xml:space="preserve"> reiteró que con el precio actual, los proyectos de hidrocarburos no son rentables, pero hay que considerar escenarios más favorables en el mediano plazo una vez la economía comience su recuperación.</w:t>
      </w:r>
    </w:p>
    <w:p w14:paraId="33BC6979" w14:textId="4E730562" w:rsidR="00D93511" w:rsidRDefault="006D07EC" w:rsidP="00D93511">
      <w:pPr>
        <w:jc w:val="both"/>
        <w:rPr>
          <w:rFonts w:ascii="Arial" w:hAnsi="Arial" w:cs="Arial"/>
        </w:rPr>
      </w:pPr>
      <w:r w:rsidRPr="00D93511">
        <w:rPr>
          <w:rFonts w:ascii="Arial" w:hAnsi="Arial" w:cs="Arial"/>
        </w:rPr>
        <w:t xml:space="preserve">Por su parte, Hernán Rodríguez, socio de la firma </w:t>
      </w:r>
      <w:proofErr w:type="spellStart"/>
      <w:r w:rsidRPr="00D93511">
        <w:rPr>
          <w:rFonts w:ascii="Arial" w:hAnsi="Arial" w:cs="Arial"/>
        </w:rPr>
        <w:t>Dentons</w:t>
      </w:r>
      <w:proofErr w:type="spellEnd"/>
      <w:r w:rsidRPr="00D93511">
        <w:rPr>
          <w:rFonts w:ascii="Arial" w:hAnsi="Arial" w:cs="Arial"/>
        </w:rPr>
        <w:t xml:space="preserve"> Cárdenas &amp; Cárdenas, explicó que una de las fórmulas para allanar el camino en el sector minero energético es el de brindar seguridad jurídica para fortalecer la inversión.</w:t>
      </w:r>
    </w:p>
    <w:p w14:paraId="2B54126E" w14:textId="1B8CE187" w:rsidR="00D93511" w:rsidRDefault="006D07EC" w:rsidP="00D93511">
      <w:pPr>
        <w:jc w:val="both"/>
        <w:rPr>
          <w:rFonts w:ascii="Arial" w:hAnsi="Arial" w:cs="Arial"/>
        </w:rPr>
      </w:pPr>
      <w:r w:rsidRPr="00D93511">
        <w:rPr>
          <w:rFonts w:ascii="Arial" w:hAnsi="Arial" w:cs="Arial"/>
        </w:rPr>
        <w:t>Hizo énfasis en que el Gobierno Nacional y el Congreso de la República deben darle celeridad al proyecto de Ley de Coordinación y Concurrencia para dinamizar la operación extractiva.</w:t>
      </w:r>
    </w:p>
    <w:p w14:paraId="414264C7" w14:textId="77777777" w:rsidR="00D93511" w:rsidRDefault="006D07EC" w:rsidP="00D93511">
      <w:pPr>
        <w:jc w:val="both"/>
        <w:rPr>
          <w:rFonts w:ascii="Arial" w:hAnsi="Arial" w:cs="Arial"/>
        </w:rPr>
      </w:pPr>
      <w:r w:rsidRPr="00D93511">
        <w:rPr>
          <w:rFonts w:ascii="Arial" w:hAnsi="Arial" w:cs="Arial"/>
        </w:rPr>
        <w:t>“Lo que se debe redactar es más que una simple ley. Hay que diseñar unos mecanismos nuevos de participación ciudadana. Así como un instrumento para que todas las actividades petroleras y mineras se decidan de manera coordinada y concurrente entre la entidad territorial y la Nación”, afirmó Rodríguez.</w:t>
      </w:r>
    </w:p>
    <w:p w14:paraId="550754DB" w14:textId="3ABC9DBD" w:rsidR="00D93511" w:rsidRDefault="006D07EC" w:rsidP="00D93511">
      <w:pPr>
        <w:jc w:val="both"/>
        <w:rPr>
          <w:rFonts w:ascii="Arial" w:hAnsi="Arial" w:cs="Arial"/>
        </w:rPr>
      </w:pPr>
      <w:r w:rsidRPr="00D93511">
        <w:rPr>
          <w:rFonts w:ascii="Arial" w:hAnsi="Arial" w:cs="Arial"/>
        </w:rPr>
        <w:t>Y precisó que lo ideal es una norma que deje satisfecho a los municipios, a la comunidad, al sector extractivo y a la misma Corte Constitucional. “Y para que esto suceda debe tener unos mínimos contenidos en un paquete de normas. No solo debe socializarse e informar sobre el proyecto, hay que darle a la entidad territorial cierto poder, y garantizarle que sus preocupaciones se van a ver reflejadas en la decisión final”, dijo.</w:t>
      </w:r>
    </w:p>
    <w:p w14:paraId="3AD5D279" w14:textId="154F39D1" w:rsidR="00D93511" w:rsidRDefault="006D07EC" w:rsidP="00D93511">
      <w:pPr>
        <w:jc w:val="both"/>
        <w:rPr>
          <w:rFonts w:ascii="Arial" w:hAnsi="Arial" w:cs="Arial"/>
        </w:rPr>
      </w:pPr>
      <w:r w:rsidRPr="00D93511">
        <w:rPr>
          <w:rFonts w:ascii="Arial" w:hAnsi="Arial" w:cs="Arial"/>
        </w:rPr>
        <w:br/>
        <w:t>Alfonso López Suárez</w:t>
      </w:r>
    </w:p>
    <w:p w14:paraId="47499EC2" w14:textId="0CF5554B" w:rsidR="006D07EC" w:rsidRPr="00D93511" w:rsidRDefault="006D07EC" w:rsidP="00D93511">
      <w:pPr>
        <w:jc w:val="both"/>
        <w:rPr>
          <w:rFonts w:ascii="Arial" w:hAnsi="Arial" w:cs="Arial"/>
        </w:rPr>
      </w:pPr>
      <w:r w:rsidRPr="00D93511">
        <w:rPr>
          <w:rFonts w:ascii="Arial" w:hAnsi="Arial" w:cs="Arial"/>
        </w:rPr>
        <w:br/>
        <w:t>Redacción Portafolio</w:t>
      </w:r>
    </w:p>
    <w:p w14:paraId="6FE7D795" w14:textId="57094A93" w:rsidR="00D93511" w:rsidRPr="00D93511" w:rsidRDefault="00D93511" w:rsidP="00D93511">
      <w:pPr>
        <w:jc w:val="center"/>
        <w:rPr>
          <w:rFonts w:ascii="Arial" w:hAnsi="Arial" w:cs="Arial"/>
        </w:rPr>
      </w:pPr>
      <w:r w:rsidRPr="00D93511">
        <w:rPr>
          <w:rFonts w:ascii="Arial" w:hAnsi="Arial" w:cs="Arial"/>
        </w:rPr>
        <w:t>Actividad:</w:t>
      </w:r>
    </w:p>
    <w:p w14:paraId="1A7EDD05" w14:textId="365899EB" w:rsidR="00D93511" w:rsidRPr="00D93511" w:rsidRDefault="00D93511" w:rsidP="00D93511">
      <w:pPr>
        <w:jc w:val="both"/>
        <w:rPr>
          <w:rFonts w:ascii="Arial" w:hAnsi="Arial" w:cs="Arial"/>
        </w:rPr>
      </w:pPr>
      <w:r w:rsidRPr="00D93511">
        <w:rPr>
          <w:rFonts w:ascii="Arial" w:hAnsi="Arial" w:cs="Arial"/>
        </w:rPr>
        <w:t>Luego de la lectura del texto, resuelva las siguientes preguntas</w:t>
      </w:r>
    </w:p>
    <w:p w14:paraId="1372A5A5" w14:textId="21BAC323" w:rsidR="00D93511" w:rsidRDefault="00D93511" w:rsidP="00D93511">
      <w:pPr>
        <w:pStyle w:val="Prrafodelista"/>
        <w:numPr>
          <w:ilvl w:val="0"/>
          <w:numId w:val="3"/>
        </w:numPr>
        <w:jc w:val="both"/>
        <w:rPr>
          <w:rFonts w:ascii="Arial" w:hAnsi="Arial" w:cs="Arial"/>
        </w:rPr>
      </w:pPr>
      <w:r w:rsidRPr="00D93511">
        <w:rPr>
          <w:rFonts w:ascii="Arial" w:hAnsi="Arial" w:cs="Arial"/>
          <w:b/>
        </w:rPr>
        <w:lastRenderedPageBreak/>
        <w:t>Nivel literal:</w:t>
      </w:r>
      <w:r>
        <w:rPr>
          <w:rFonts w:ascii="Arial" w:hAnsi="Arial" w:cs="Arial"/>
        </w:rPr>
        <w:t xml:space="preserve"> Según el artículo ¿cuál será la consecuencia del COVID-19 en la demanda del petróleo y el carbón?</w:t>
      </w:r>
    </w:p>
    <w:p w14:paraId="0015ACCF" w14:textId="77979205" w:rsidR="00D93511" w:rsidRDefault="00D93511" w:rsidP="00D93511">
      <w:pPr>
        <w:pStyle w:val="Prrafodelista"/>
        <w:numPr>
          <w:ilvl w:val="0"/>
          <w:numId w:val="3"/>
        </w:numPr>
        <w:jc w:val="both"/>
        <w:rPr>
          <w:rFonts w:ascii="Arial" w:hAnsi="Arial" w:cs="Arial"/>
        </w:rPr>
      </w:pPr>
      <w:r w:rsidRPr="00D93511">
        <w:rPr>
          <w:rFonts w:ascii="Arial" w:hAnsi="Arial" w:cs="Arial"/>
          <w:b/>
        </w:rPr>
        <w:t>Nivel Literal:</w:t>
      </w:r>
      <w:r>
        <w:rPr>
          <w:rFonts w:ascii="Arial" w:hAnsi="Arial" w:cs="Arial"/>
        </w:rPr>
        <w:t xml:space="preserve"> </w:t>
      </w:r>
      <w:r>
        <w:rPr>
          <w:rFonts w:ascii="Arial" w:hAnsi="Arial" w:cs="Arial"/>
        </w:rPr>
        <w:t xml:space="preserve">Según el artículo, ¿Por qué razón se afirma que la industria </w:t>
      </w:r>
      <w:proofErr w:type="spellStart"/>
      <w:r>
        <w:rPr>
          <w:rFonts w:ascii="Arial" w:hAnsi="Arial" w:cs="Arial"/>
        </w:rPr>
        <w:t>mineroenergética</w:t>
      </w:r>
      <w:proofErr w:type="spellEnd"/>
      <w:r>
        <w:rPr>
          <w:rFonts w:ascii="Arial" w:hAnsi="Arial" w:cs="Arial"/>
        </w:rPr>
        <w:t xml:space="preserve"> está mejor preparada para asumir la crisis por el COVID-19?</w:t>
      </w:r>
    </w:p>
    <w:p w14:paraId="33FBEBA4" w14:textId="77777777" w:rsidR="00C25AD1" w:rsidRDefault="00D93511" w:rsidP="00BC5E7F">
      <w:pPr>
        <w:pStyle w:val="Prrafodelista"/>
        <w:numPr>
          <w:ilvl w:val="0"/>
          <w:numId w:val="3"/>
        </w:numPr>
        <w:jc w:val="both"/>
        <w:rPr>
          <w:rFonts w:ascii="Arial" w:hAnsi="Arial" w:cs="Arial"/>
        </w:rPr>
      </w:pPr>
      <w:r w:rsidRPr="00D93511">
        <w:rPr>
          <w:rFonts w:ascii="Arial" w:hAnsi="Arial" w:cs="Arial"/>
          <w:b/>
        </w:rPr>
        <w:t>Nivel inferencial</w:t>
      </w:r>
      <w:r>
        <w:rPr>
          <w:rFonts w:ascii="Arial" w:hAnsi="Arial" w:cs="Arial"/>
        </w:rPr>
        <w:t xml:space="preserve">: </w:t>
      </w:r>
      <w:r w:rsidR="00C25AD1">
        <w:rPr>
          <w:rFonts w:ascii="Arial" w:hAnsi="Arial" w:cs="Arial"/>
        </w:rPr>
        <w:t>cuando en el artículo se menciona que: “</w:t>
      </w:r>
      <w:r w:rsidR="00C25AD1" w:rsidRPr="00C25AD1">
        <w:rPr>
          <w:rFonts w:ascii="Arial" w:hAnsi="Arial" w:cs="Arial"/>
          <w:u w:val="single"/>
        </w:rPr>
        <w:t>es probable que las empresas del sector consideren medidas para reducir los costos de producción, algo que no es nuevo para la industria.</w:t>
      </w:r>
      <w:r w:rsidR="00C25AD1">
        <w:rPr>
          <w:rFonts w:ascii="Arial" w:hAnsi="Arial" w:cs="Arial"/>
        </w:rPr>
        <w:t>” ¿Qué tipo de recortes cree usted que harán las industrias mineras y petroleras?</w:t>
      </w:r>
    </w:p>
    <w:p w14:paraId="25690C9C" w14:textId="77777777" w:rsidR="00C25AD1" w:rsidRPr="00C25AD1" w:rsidRDefault="00C25AD1" w:rsidP="00BC5E7F">
      <w:pPr>
        <w:pStyle w:val="Prrafodelista"/>
        <w:numPr>
          <w:ilvl w:val="0"/>
          <w:numId w:val="3"/>
        </w:numPr>
        <w:jc w:val="both"/>
        <w:rPr>
          <w:rFonts w:ascii="Arial" w:hAnsi="Arial" w:cs="Arial"/>
        </w:rPr>
      </w:pPr>
      <w:r>
        <w:rPr>
          <w:rFonts w:ascii="Arial" w:hAnsi="Arial" w:cs="Arial"/>
          <w:b/>
        </w:rPr>
        <w:t xml:space="preserve">Nivel Inferencial: </w:t>
      </w:r>
      <w:r w:rsidRPr="00C25AD1">
        <w:rPr>
          <w:rFonts w:ascii="Arial" w:hAnsi="Arial" w:cs="Arial"/>
        </w:rPr>
        <w:t>¿Cuál es la importancia de China para el equilibrio del mercado minero y petrolero?</w:t>
      </w:r>
    </w:p>
    <w:p w14:paraId="465F826B" w14:textId="57910380" w:rsidR="006D07EC" w:rsidRPr="00C25AD1" w:rsidRDefault="00C25AD1" w:rsidP="00BC5E7F">
      <w:pPr>
        <w:pStyle w:val="Prrafodelista"/>
        <w:numPr>
          <w:ilvl w:val="0"/>
          <w:numId w:val="3"/>
        </w:numPr>
        <w:jc w:val="both"/>
        <w:rPr>
          <w:rFonts w:ascii="Arial" w:hAnsi="Arial" w:cs="Arial"/>
          <w:b/>
        </w:rPr>
      </w:pPr>
      <w:r w:rsidRPr="00C25AD1">
        <w:rPr>
          <w:rFonts w:ascii="Arial" w:hAnsi="Arial" w:cs="Arial"/>
          <w:b/>
        </w:rPr>
        <w:t xml:space="preserve">Nivel crítico: </w:t>
      </w:r>
      <w:r w:rsidRPr="00C25AD1">
        <w:rPr>
          <w:rFonts w:ascii="Arial" w:hAnsi="Arial" w:cs="Arial"/>
        </w:rPr>
        <w:t>Señale al menos tres consecuencias económicas de la desaceleración de la industria minera y petrolera en Colombia</w:t>
      </w:r>
    </w:p>
    <w:p w14:paraId="4EAF4835" w14:textId="77777777" w:rsidR="00715A13" w:rsidRPr="00D93511" w:rsidRDefault="00715A13">
      <w:pPr>
        <w:rPr>
          <w:rFonts w:ascii="Arial" w:hAnsi="Arial" w:cs="Arial"/>
        </w:rPr>
      </w:pPr>
    </w:p>
    <w:sectPr w:rsidR="00715A13" w:rsidRPr="00D93511" w:rsidSect="00C25AD1">
      <w:headerReference w:type="default" r:id="rId7"/>
      <w:pgSz w:w="12240" w:h="20160" w:code="5"/>
      <w:pgMar w:top="1417" w:right="1325"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2019DE" w14:textId="77777777" w:rsidR="00276E6E" w:rsidRDefault="00276E6E" w:rsidP="007322A1">
      <w:pPr>
        <w:spacing w:after="0" w:line="240" w:lineRule="auto"/>
      </w:pPr>
      <w:r>
        <w:separator/>
      </w:r>
    </w:p>
  </w:endnote>
  <w:endnote w:type="continuationSeparator" w:id="0">
    <w:p w14:paraId="2802D3D3" w14:textId="77777777" w:rsidR="00276E6E" w:rsidRDefault="00276E6E" w:rsidP="007322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open_sansbold">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AA3462" w14:textId="77777777" w:rsidR="00276E6E" w:rsidRDefault="00276E6E" w:rsidP="007322A1">
      <w:pPr>
        <w:spacing w:after="0" w:line="240" w:lineRule="auto"/>
      </w:pPr>
      <w:r>
        <w:separator/>
      </w:r>
    </w:p>
  </w:footnote>
  <w:footnote w:type="continuationSeparator" w:id="0">
    <w:p w14:paraId="1E898D91" w14:textId="77777777" w:rsidR="00276E6E" w:rsidRDefault="00276E6E" w:rsidP="007322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222" w:type="pct"/>
      <w:tblInd w:w="-449" w:type="dxa"/>
      <w:tblBorders>
        <w:top w:val="threeDEmboss" w:sz="6" w:space="0" w:color="auto"/>
        <w:left w:val="threeDEmboss" w:sz="6" w:space="0" w:color="auto"/>
        <w:bottom w:val="threeDEmboss" w:sz="6" w:space="0" w:color="auto"/>
        <w:right w:val="threeDEmboss" w:sz="6" w:space="0" w:color="auto"/>
        <w:insideH w:val="threeDEmboss" w:sz="6" w:space="0" w:color="auto"/>
        <w:insideV w:val="threeDEmboss" w:sz="6" w:space="0" w:color="auto"/>
      </w:tblBorders>
      <w:tblLook w:val="0000" w:firstRow="0" w:lastRow="0" w:firstColumn="0" w:lastColumn="0" w:noHBand="0" w:noVBand="0"/>
    </w:tblPr>
    <w:tblGrid>
      <w:gridCol w:w="2160"/>
      <w:gridCol w:w="6088"/>
      <w:gridCol w:w="1771"/>
    </w:tblGrid>
    <w:tr w:rsidR="007322A1" w:rsidRPr="00EF4BD5" w14:paraId="7B4D447E" w14:textId="77777777" w:rsidTr="007322A1">
      <w:trPr>
        <w:trHeight w:val="707"/>
      </w:trPr>
      <w:tc>
        <w:tcPr>
          <w:tcW w:w="1078" w:type="pct"/>
          <w:tcBorders>
            <w:bottom w:val="threeDEmboss" w:sz="6" w:space="0" w:color="auto"/>
          </w:tcBorders>
          <w:vAlign w:val="center"/>
        </w:tcPr>
        <w:p w14:paraId="4BA3BCA3" w14:textId="77777777" w:rsidR="007322A1" w:rsidRPr="00EF4BD5" w:rsidRDefault="007322A1" w:rsidP="007322A1">
          <w:pPr>
            <w:tabs>
              <w:tab w:val="left" w:pos="720"/>
            </w:tabs>
            <w:spacing w:after="0"/>
            <w:jc w:val="center"/>
            <w:rPr>
              <w:rFonts w:ascii="Arial" w:hAnsi="Arial" w:cs="Arial"/>
              <w:i/>
            </w:rPr>
          </w:pPr>
          <w:r w:rsidRPr="00EF4BD5">
            <w:rPr>
              <w:rFonts w:ascii="Arial" w:hAnsi="Arial" w:cs="Arial"/>
              <w:i/>
              <w:noProof/>
              <w:lang w:eastAsia="es-CO"/>
            </w:rPr>
            <w:drawing>
              <wp:inline distT="0" distB="0" distL="0" distR="0" wp14:anchorId="1235C646" wp14:editId="34041A43">
                <wp:extent cx="416560" cy="434340"/>
                <wp:effectExtent l="0" t="0" r="2540" b="381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16560" cy="434340"/>
                        </a:xfrm>
                        <a:prstGeom prst="rect">
                          <a:avLst/>
                        </a:prstGeom>
                        <a:noFill/>
                        <a:ln>
                          <a:noFill/>
                        </a:ln>
                      </pic:spPr>
                    </pic:pic>
                  </a:graphicData>
                </a:graphic>
              </wp:inline>
            </w:drawing>
          </w:r>
        </w:p>
      </w:tc>
      <w:tc>
        <w:tcPr>
          <w:tcW w:w="3038" w:type="pct"/>
          <w:shd w:val="clear" w:color="auto" w:fill="auto"/>
          <w:vAlign w:val="center"/>
        </w:tcPr>
        <w:p w14:paraId="6388972C" w14:textId="77777777" w:rsidR="007322A1" w:rsidRDefault="007322A1" w:rsidP="007322A1">
          <w:pPr>
            <w:pStyle w:val="Ttulo1"/>
            <w:spacing w:before="0" w:after="0"/>
            <w:jc w:val="center"/>
            <w:rPr>
              <w:rFonts w:cs="Arial"/>
              <w:sz w:val="22"/>
              <w:szCs w:val="22"/>
            </w:rPr>
          </w:pPr>
          <w:r w:rsidRPr="00EF4BD5">
            <w:rPr>
              <w:rFonts w:cs="Arial"/>
              <w:sz w:val="22"/>
              <w:szCs w:val="22"/>
            </w:rPr>
            <w:t xml:space="preserve">INSTITUCIÓN EDUCATIVA  </w:t>
          </w:r>
        </w:p>
        <w:p w14:paraId="0A1C6AA6" w14:textId="77777777" w:rsidR="007322A1" w:rsidRPr="00EF4BD5" w:rsidRDefault="007322A1" w:rsidP="007322A1">
          <w:pPr>
            <w:pStyle w:val="Ttulo1"/>
            <w:spacing w:before="0" w:after="0"/>
            <w:jc w:val="center"/>
            <w:rPr>
              <w:rFonts w:cs="Arial"/>
              <w:sz w:val="22"/>
              <w:szCs w:val="22"/>
            </w:rPr>
          </w:pPr>
          <w:r w:rsidRPr="00EF4BD5">
            <w:rPr>
              <w:rFonts w:cs="Arial"/>
              <w:sz w:val="22"/>
              <w:szCs w:val="22"/>
            </w:rPr>
            <w:t>MARCELIANA SALDARRIAGA</w:t>
          </w:r>
        </w:p>
        <w:p w14:paraId="7F3418D9" w14:textId="77777777" w:rsidR="007322A1" w:rsidRPr="00EF4BD5" w:rsidRDefault="007322A1" w:rsidP="007322A1">
          <w:pPr>
            <w:pStyle w:val="Ttulo1"/>
            <w:spacing w:before="0" w:after="0"/>
            <w:jc w:val="center"/>
            <w:rPr>
              <w:rFonts w:cs="Arial"/>
              <w:b w:val="0"/>
              <w:i/>
              <w:sz w:val="18"/>
              <w:szCs w:val="18"/>
            </w:rPr>
          </w:pPr>
          <w:r w:rsidRPr="00EF4BD5">
            <w:rPr>
              <w:rFonts w:cs="Arial"/>
              <w:b w:val="0"/>
              <w:sz w:val="18"/>
              <w:szCs w:val="18"/>
            </w:rPr>
            <w:t xml:space="preserve"> </w:t>
          </w:r>
          <w:r w:rsidRPr="00EF4BD5">
            <w:rPr>
              <w:rFonts w:cs="Arial"/>
              <w:b w:val="0"/>
              <w:i/>
              <w:sz w:val="18"/>
              <w:szCs w:val="18"/>
            </w:rPr>
            <w:t>Formando ciudadanos dignos en el ser, el saber y el hacer</w:t>
          </w:r>
        </w:p>
      </w:tc>
      <w:tc>
        <w:tcPr>
          <w:tcW w:w="884" w:type="pct"/>
          <w:vAlign w:val="center"/>
        </w:tcPr>
        <w:p w14:paraId="0CAA4607" w14:textId="77777777" w:rsidR="007322A1" w:rsidRPr="00EF4BD5" w:rsidRDefault="007322A1" w:rsidP="007322A1">
          <w:pPr>
            <w:spacing w:after="0"/>
            <w:jc w:val="center"/>
            <w:rPr>
              <w:rFonts w:ascii="Arial" w:hAnsi="Arial" w:cs="Arial"/>
              <w:i/>
            </w:rPr>
          </w:pPr>
          <w:r w:rsidRPr="00EF4BD5">
            <w:rPr>
              <w:rFonts w:ascii="Arial" w:hAnsi="Arial" w:cs="Arial"/>
              <w:i/>
              <w:noProof/>
              <w:lang w:eastAsia="es-CO"/>
            </w:rPr>
            <w:drawing>
              <wp:inline distT="0" distB="0" distL="0" distR="0" wp14:anchorId="1C7043F9" wp14:editId="19EC73D0">
                <wp:extent cx="416560" cy="416560"/>
                <wp:effectExtent l="0" t="0" r="2540" b="2540"/>
                <wp:docPr id="15" name="Imagen 15" desc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L"/>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416560" cy="416560"/>
                        </a:xfrm>
                        <a:prstGeom prst="rect">
                          <a:avLst/>
                        </a:prstGeom>
                        <a:noFill/>
                        <a:ln>
                          <a:noFill/>
                        </a:ln>
                      </pic:spPr>
                    </pic:pic>
                  </a:graphicData>
                </a:graphic>
              </wp:inline>
            </w:drawing>
          </w:r>
        </w:p>
      </w:tc>
    </w:tr>
    <w:tr w:rsidR="007322A1" w:rsidRPr="00EF4BD5" w14:paraId="49A67726" w14:textId="77777777" w:rsidTr="007322A1">
      <w:trPr>
        <w:trHeight w:val="335"/>
      </w:trPr>
      <w:tc>
        <w:tcPr>
          <w:tcW w:w="5000" w:type="pct"/>
          <w:gridSpan w:val="3"/>
          <w:tcBorders>
            <w:top w:val="threeDEmboss" w:sz="6" w:space="0" w:color="auto"/>
            <w:bottom w:val="threeDEmboss" w:sz="6" w:space="0" w:color="auto"/>
          </w:tcBorders>
          <w:vAlign w:val="center"/>
        </w:tcPr>
        <w:p w14:paraId="5E49A0B0" w14:textId="77777777" w:rsidR="007322A1" w:rsidRPr="00EF4BD5" w:rsidRDefault="007322A1" w:rsidP="007322A1">
          <w:pPr>
            <w:spacing w:after="0" w:line="240" w:lineRule="auto"/>
            <w:jc w:val="center"/>
            <w:rPr>
              <w:rFonts w:ascii="Arial" w:hAnsi="Arial" w:cs="Arial"/>
              <w:i/>
            </w:rPr>
          </w:pPr>
          <w:r>
            <w:rPr>
              <w:rFonts w:ascii="Arial" w:hAnsi="Arial" w:cs="Arial"/>
              <w:i/>
            </w:rPr>
            <w:t>GUIA FISICA PARA ATENDER LA</w:t>
          </w:r>
          <w:r w:rsidRPr="00EF4BD5">
            <w:rPr>
              <w:rFonts w:ascii="Arial" w:hAnsi="Arial" w:cs="Arial"/>
              <w:i/>
            </w:rPr>
            <w:t xml:space="preserve"> CONTINGENCIA </w:t>
          </w:r>
          <w:r>
            <w:rPr>
              <w:rFonts w:ascii="Arial" w:hAnsi="Arial" w:cs="Arial"/>
              <w:i/>
            </w:rPr>
            <w:t>NO VIRTUAL</w:t>
          </w:r>
          <w:r w:rsidRPr="00EF4BD5">
            <w:rPr>
              <w:rFonts w:ascii="Arial" w:hAnsi="Arial" w:cs="Arial"/>
              <w:i/>
            </w:rPr>
            <w:t xml:space="preserve">   </w:t>
          </w:r>
        </w:p>
      </w:tc>
    </w:tr>
  </w:tbl>
  <w:p w14:paraId="0EA5B170" w14:textId="77777777" w:rsidR="007322A1" w:rsidRDefault="007322A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97214"/>
    <w:multiLevelType w:val="hybridMultilevel"/>
    <w:tmpl w:val="E322387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4F604E6C"/>
    <w:multiLevelType w:val="hybridMultilevel"/>
    <w:tmpl w:val="2E9ED750"/>
    <w:lvl w:ilvl="0" w:tplc="7500264A">
      <w:start w:val="1"/>
      <w:numFmt w:val="decimal"/>
      <w:lvlText w:val="%1."/>
      <w:lvlJc w:val="left"/>
      <w:pPr>
        <w:ind w:left="720" w:hanging="360"/>
      </w:pPr>
      <w:rPr>
        <w:rFonts w:ascii="open_sansbold" w:hAnsi="open_sansbold"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5DD73E97"/>
    <w:multiLevelType w:val="multilevel"/>
    <w:tmpl w:val="BEF8B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2A1"/>
    <w:rsid w:val="00276E6E"/>
    <w:rsid w:val="003011BC"/>
    <w:rsid w:val="003A0405"/>
    <w:rsid w:val="00485937"/>
    <w:rsid w:val="004B3C7F"/>
    <w:rsid w:val="006D07EC"/>
    <w:rsid w:val="007060D4"/>
    <w:rsid w:val="00715A13"/>
    <w:rsid w:val="007322A1"/>
    <w:rsid w:val="007C549D"/>
    <w:rsid w:val="00895C94"/>
    <w:rsid w:val="00943916"/>
    <w:rsid w:val="00C25AD1"/>
    <w:rsid w:val="00C54C29"/>
    <w:rsid w:val="00D322A8"/>
    <w:rsid w:val="00D77D59"/>
    <w:rsid w:val="00D93511"/>
    <w:rsid w:val="00F96FD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E2087"/>
  <w15:chartTrackingRefBased/>
  <w15:docId w15:val="{A3AE79CE-5AE1-4FA6-8A03-32B8FBE56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7322A1"/>
    <w:pPr>
      <w:keepNext/>
      <w:spacing w:before="240" w:after="60" w:line="240" w:lineRule="auto"/>
      <w:outlineLvl w:val="0"/>
    </w:pPr>
    <w:rPr>
      <w:rFonts w:ascii="Arial" w:eastAsia="Batang" w:hAnsi="Arial" w:cs="Times New Roman"/>
      <w:b/>
      <w:bCs/>
      <w:kern w:val="32"/>
      <w:sz w:val="32"/>
      <w:szCs w:val="32"/>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322A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322A1"/>
  </w:style>
  <w:style w:type="paragraph" w:styleId="Piedepgina">
    <w:name w:val="footer"/>
    <w:basedOn w:val="Normal"/>
    <w:link w:val="PiedepginaCar"/>
    <w:uiPriority w:val="99"/>
    <w:unhideWhenUsed/>
    <w:rsid w:val="007322A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322A1"/>
  </w:style>
  <w:style w:type="character" w:customStyle="1" w:styleId="Ttulo1Car">
    <w:name w:val="Título 1 Car"/>
    <w:basedOn w:val="Fuentedeprrafopredeter"/>
    <w:link w:val="Ttulo1"/>
    <w:rsid w:val="007322A1"/>
    <w:rPr>
      <w:rFonts w:ascii="Arial" w:eastAsia="Batang" w:hAnsi="Arial" w:cs="Times New Roman"/>
      <w:b/>
      <w:bCs/>
      <w:kern w:val="32"/>
      <w:sz w:val="32"/>
      <w:szCs w:val="32"/>
      <w:lang w:eastAsia="es-ES"/>
    </w:rPr>
  </w:style>
  <w:style w:type="table" w:styleId="Tablaconcuadrcula">
    <w:name w:val="Table Grid"/>
    <w:basedOn w:val="Tablanormal"/>
    <w:uiPriority w:val="39"/>
    <w:rsid w:val="007322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igraph">
    <w:name w:val="epigraph"/>
    <w:basedOn w:val="Normal"/>
    <w:rsid w:val="006D07EC"/>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Hipervnculo">
    <w:name w:val="Hyperlink"/>
    <w:basedOn w:val="Fuentedeprrafopredeter"/>
    <w:uiPriority w:val="99"/>
    <w:semiHidden/>
    <w:unhideWhenUsed/>
    <w:rsid w:val="006D07EC"/>
    <w:rPr>
      <w:color w:val="0000FF"/>
      <w:u w:val="single"/>
    </w:rPr>
  </w:style>
  <w:style w:type="paragraph" w:customStyle="1" w:styleId="foto-description">
    <w:name w:val="foto-description"/>
    <w:basedOn w:val="Normal"/>
    <w:rsid w:val="006D07EC"/>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foto-author">
    <w:name w:val="foto-author"/>
    <w:basedOn w:val="Normal"/>
    <w:rsid w:val="006D07EC"/>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arrafo">
    <w:name w:val="parrafo"/>
    <w:basedOn w:val="Normal"/>
    <w:rsid w:val="006D07EC"/>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Prrafodelista">
    <w:name w:val="List Paragraph"/>
    <w:basedOn w:val="Normal"/>
    <w:uiPriority w:val="34"/>
    <w:qFormat/>
    <w:rsid w:val="00D935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1649163">
      <w:bodyDiv w:val="1"/>
      <w:marLeft w:val="0"/>
      <w:marRight w:val="0"/>
      <w:marTop w:val="0"/>
      <w:marBottom w:val="0"/>
      <w:divBdr>
        <w:top w:val="none" w:sz="0" w:space="0" w:color="auto"/>
        <w:left w:val="none" w:sz="0" w:space="0" w:color="auto"/>
        <w:bottom w:val="none" w:sz="0" w:space="0" w:color="auto"/>
        <w:right w:val="none" w:sz="0" w:space="0" w:color="auto"/>
      </w:divBdr>
      <w:divsChild>
        <w:div w:id="298536014">
          <w:marLeft w:val="0"/>
          <w:marRight w:val="0"/>
          <w:marTop w:val="0"/>
          <w:marBottom w:val="0"/>
          <w:divBdr>
            <w:top w:val="none" w:sz="0" w:space="0" w:color="auto"/>
            <w:left w:val="none" w:sz="0" w:space="0" w:color="auto"/>
            <w:bottom w:val="none" w:sz="0" w:space="0" w:color="auto"/>
            <w:right w:val="none" w:sz="0" w:space="0" w:color="auto"/>
          </w:divBdr>
          <w:divsChild>
            <w:div w:id="255334872">
              <w:marLeft w:val="0"/>
              <w:marRight w:val="0"/>
              <w:marTop w:val="0"/>
              <w:marBottom w:val="0"/>
              <w:divBdr>
                <w:top w:val="none" w:sz="0" w:space="0" w:color="auto"/>
                <w:left w:val="none" w:sz="0" w:space="0" w:color="auto"/>
                <w:bottom w:val="none" w:sz="0" w:space="0" w:color="auto"/>
                <w:right w:val="none" w:sz="0" w:space="0" w:color="auto"/>
              </w:divBdr>
            </w:div>
          </w:divsChild>
        </w:div>
        <w:div w:id="1665475095">
          <w:marLeft w:val="0"/>
          <w:marRight w:val="0"/>
          <w:marTop w:val="0"/>
          <w:marBottom w:val="0"/>
          <w:divBdr>
            <w:top w:val="none" w:sz="0" w:space="0" w:color="auto"/>
            <w:left w:val="none" w:sz="0" w:space="0" w:color="auto"/>
            <w:bottom w:val="none" w:sz="0" w:space="0" w:color="auto"/>
            <w:right w:val="none" w:sz="0" w:space="0" w:color="auto"/>
          </w:divBdr>
          <w:divsChild>
            <w:div w:id="1201866892">
              <w:marLeft w:val="0"/>
              <w:marRight w:val="0"/>
              <w:marTop w:val="0"/>
              <w:marBottom w:val="0"/>
              <w:divBdr>
                <w:top w:val="none" w:sz="0" w:space="0" w:color="auto"/>
                <w:left w:val="none" w:sz="0" w:space="0" w:color="auto"/>
                <w:bottom w:val="none" w:sz="0" w:space="0" w:color="auto"/>
                <w:right w:val="none" w:sz="0" w:space="0" w:color="auto"/>
              </w:divBdr>
              <w:divsChild>
                <w:div w:id="1054426667">
                  <w:marLeft w:val="0"/>
                  <w:marRight w:val="0"/>
                  <w:marTop w:val="0"/>
                  <w:marBottom w:val="0"/>
                  <w:divBdr>
                    <w:top w:val="none" w:sz="0" w:space="0" w:color="auto"/>
                    <w:left w:val="none" w:sz="0" w:space="0" w:color="auto"/>
                    <w:bottom w:val="none" w:sz="0" w:space="0" w:color="auto"/>
                    <w:right w:val="none" w:sz="0" w:space="0" w:color="auto"/>
                  </w:divBdr>
                  <w:divsChild>
                    <w:div w:id="922883432">
                      <w:marLeft w:val="0"/>
                      <w:marRight w:val="0"/>
                      <w:marTop w:val="0"/>
                      <w:marBottom w:val="0"/>
                      <w:divBdr>
                        <w:top w:val="none" w:sz="0" w:space="0" w:color="auto"/>
                        <w:left w:val="none" w:sz="0" w:space="0" w:color="auto"/>
                        <w:bottom w:val="none" w:sz="0" w:space="0" w:color="auto"/>
                        <w:right w:val="none" w:sz="0" w:space="0" w:color="auto"/>
                      </w:divBdr>
                    </w:div>
                  </w:divsChild>
                </w:div>
                <w:div w:id="1990789224">
                  <w:marLeft w:val="0"/>
                  <w:marRight w:val="0"/>
                  <w:marTop w:val="0"/>
                  <w:marBottom w:val="0"/>
                  <w:divBdr>
                    <w:top w:val="none" w:sz="0" w:space="0" w:color="auto"/>
                    <w:left w:val="none" w:sz="0" w:space="0" w:color="auto"/>
                    <w:bottom w:val="none" w:sz="0" w:space="0" w:color="auto"/>
                    <w:right w:val="none" w:sz="0" w:space="0" w:color="auto"/>
                  </w:divBdr>
                  <w:divsChild>
                    <w:div w:id="2136873282">
                      <w:marLeft w:val="0"/>
                      <w:marRight w:val="0"/>
                      <w:marTop w:val="0"/>
                      <w:marBottom w:val="525"/>
                      <w:divBdr>
                        <w:top w:val="none" w:sz="0" w:space="0" w:color="auto"/>
                        <w:left w:val="none" w:sz="0" w:space="0" w:color="auto"/>
                        <w:bottom w:val="none" w:sz="0" w:space="0" w:color="auto"/>
                        <w:right w:val="none" w:sz="0" w:space="0" w:color="auto"/>
                      </w:divBdr>
                    </w:div>
                  </w:divsChild>
                </w:div>
                <w:div w:id="742289627">
                  <w:marLeft w:val="0"/>
                  <w:marRight w:val="0"/>
                  <w:marTop w:val="0"/>
                  <w:marBottom w:val="300"/>
                  <w:divBdr>
                    <w:top w:val="none" w:sz="0" w:space="0" w:color="auto"/>
                    <w:left w:val="none" w:sz="0" w:space="0" w:color="auto"/>
                    <w:bottom w:val="none" w:sz="0" w:space="0" w:color="auto"/>
                    <w:right w:val="none" w:sz="0" w:space="0" w:color="auto"/>
                  </w:divBdr>
                  <w:divsChild>
                    <w:div w:id="383137359">
                      <w:marLeft w:val="0"/>
                      <w:marRight w:val="0"/>
                      <w:marTop w:val="0"/>
                      <w:marBottom w:val="0"/>
                      <w:divBdr>
                        <w:top w:val="none" w:sz="0" w:space="0" w:color="auto"/>
                        <w:left w:val="none" w:sz="0" w:space="0" w:color="auto"/>
                        <w:bottom w:val="none" w:sz="0" w:space="0" w:color="auto"/>
                        <w:right w:val="none" w:sz="0" w:space="0" w:color="auto"/>
                      </w:divBdr>
                    </w:div>
                    <w:div w:id="574166795">
                      <w:marLeft w:val="0"/>
                      <w:marRight w:val="0"/>
                      <w:marTop w:val="0"/>
                      <w:marBottom w:val="0"/>
                      <w:divBdr>
                        <w:top w:val="none" w:sz="0" w:space="0" w:color="auto"/>
                        <w:left w:val="none" w:sz="0" w:space="0" w:color="auto"/>
                        <w:bottom w:val="none" w:sz="0" w:space="0" w:color="auto"/>
                        <w:right w:val="none" w:sz="0" w:space="0" w:color="auto"/>
                      </w:divBdr>
                      <w:divsChild>
                        <w:div w:id="2140370096">
                          <w:marLeft w:val="0"/>
                          <w:marRight w:val="0"/>
                          <w:marTop w:val="0"/>
                          <w:marBottom w:val="0"/>
                          <w:divBdr>
                            <w:top w:val="none" w:sz="0" w:space="0" w:color="auto"/>
                            <w:left w:val="none" w:sz="0" w:space="0" w:color="auto"/>
                            <w:bottom w:val="none" w:sz="0" w:space="0" w:color="auto"/>
                            <w:right w:val="none" w:sz="0" w:space="0" w:color="auto"/>
                          </w:divBdr>
                        </w:div>
                      </w:divsChild>
                    </w:div>
                    <w:div w:id="111095008">
                      <w:marLeft w:val="0"/>
                      <w:marRight w:val="0"/>
                      <w:marTop w:val="0"/>
                      <w:marBottom w:val="0"/>
                      <w:divBdr>
                        <w:top w:val="none" w:sz="0" w:space="0" w:color="auto"/>
                        <w:left w:val="none" w:sz="0" w:space="0" w:color="auto"/>
                        <w:bottom w:val="none" w:sz="0" w:space="0" w:color="auto"/>
                        <w:right w:val="none" w:sz="0" w:space="0" w:color="auto"/>
                      </w:divBdr>
                    </w:div>
                  </w:divsChild>
                </w:div>
                <w:div w:id="80361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1172</Words>
  <Characters>6452</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FANNY ASTRIDT BELTRAN ECHEVERRIA</dc:creator>
  <cp:keywords/>
  <dc:description/>
  <cp:lastModifiedBy>Docentes</cp:lastModifiedBy>
  <cp:revision>4</cp:revision>
  <dcterms:created xsi:type="dcterms:W3CDTF">2020-05-22T00:16:00Z</dcterms:created>
  <dcterms:modified xsi:type="dcterms:W3CDTF">2020-05-22T00:18:00Z</dcterms:modified>
</cp:coreProperties>
</file>